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ascii="微软雅黑" w:hAnsi="微软雅黑" w:eastAsia="微软雅黑" w:cs="微软雅黑"/>
          <w:b/>
          <w:bCs/>
          <w:color w:val="4F5050"/>
          <w:sz w:val="28"/>
          <w:szCs w:val="28"/>
        </w:rPr>
      </w:pPr>
      <w:r>
        <w:rPr>
          <w:rFonts w:hint="eastAsia" w:ascii="微软雅黑" w:hAnsi="微软雅黑" w:eastAsia="微软雅黑" w:cs="微软雅黑"/>
          <w:b/>
          <w:bCs/>
          <w:i w:val="0"/>
          <w:iCs w:val="0"/>
          <w:caps w:val="0"/>
          <w:color w:val="4F5050"/>
          <w:spacing w:val="0"/>
          <w:sz w:val="28"/>
          <w:szCs w:val="28"/>
          <w:bdr w:val="none" w:color="auto" w:sz="0" w:space="0"/>
        </w:rPr>
        <w:t>国务院关于建立完善守信联合激励和失信联合惩戒制度加快推进社会诚信建设的指导意见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ascii="黑体" w:hAnsi="宋体" w:eastAsia="黑体" w:cs="黑体"/>
          <w:color w:val="2F2E30"/>
          <w:sz w:val="21"/>
          <w:szCs w:val="21"/>
        </w:rPr>
      </w:pPr>
      <w:r>
        <w:rPr>
          <w:rStyle w:val="6"/>
          <w:rFonts w:ascii="仿宋" w:hAnsi="仿宋" w:eastAsia="仿宋" w:cs="仿宋"/>
          <w:b w:val="0"/>
          <w:bCs w:val="0"/>
          <w:i w:val="0"/>
          <w:iCs w:val="0"/>
          <w:caps w:val="0"/>
          <w:color w:val="333333"/>
          <w:spacing w:val="0"/>
          <w:sz w:val="21"/>
          <w:szCs w:val="21"/>
          <w:bdr w:val="none" w:color="auto" w:sz="0" w:space="0"/>
          <w:shd w:val="clear" w:fill="FFFFFF"/>
        </w:rPr>
        <w:t>国发〔</w:t>
      </w:r>
      <w:r>
        <w:rPr>
          <w:rStyle w:val="6"/>
          <w:rFonts w:hint="eastAsia" w:ascii="黑体" w:hAnsi="宋体" w:eastAsia="黑体" w:cs="黑体"/>
          <w:b w:val="0"/>
          <w:bCs w:val="0"/>
          <w:i w:val="0"/>
          <w:iCs w:val="0"/>
          <w:caps w:val="0"/>
          <w:color w:val="2F2E30"/>
          <w:spacing w:val="0"/>
          <w:sz w:val="21"/>
          <w:szCs w:val="21"/>
          <w:bdr w:val="none" w:color="auto" w:sz="0" w:space="0"/>
          <w:shd w:val="clear" w:fill="FFFFFF"/>
        </w:rPr>
        <w:t>2016</w:t>
      </w:r>
      <w:r>
        <w:rPr>
          <w:rStyle w:val="6"/>
          <w:rFonts w:hint="eastAsia" w:ascii="仿宋" w:hAnsi="仿宋" w:eastAsia="仿宋" w:cs="仿宋"/>
          <w:b w:val="0"/>
          <w:bCs w:val="0"/>
          <w:i w:val="0"/>
          <w:iCs w:val="0"/>
          <w:caps w:val="0"/>
          <w:color w:val="333333"/>
          <w:spacing w:val="0"/>
          <w:sz w:val="21"/>
          <w:szCs w:val="21"/>
          <w:bdr w:val="none" w:color="auto" w:sz="0" w:space="0"/>
          <w:shd w:val="clear" w:fill="FFFFFF"/>
        </w:rPr>
        <w:t>〕</w:t>
      </w:r>
      <w:r>
        <w:rPr>
          <w:rStyle w:val="6"/>
          <w:rFonts w:hint="eastAsia" w:ascii="黑体" w:hAnsi="宋体" w:eastAsia="黑体" w:cs="黑体"/>
          <w:b w:val="0"/>
          <w:bCs w:val="0"/>
          <w:i w:val="0"/>
          <w:iCs w:val="0"/>
          <w:caps w:val="0"/>
          <w:color w:val="2F2E30"/>
          <w:spacing w:val="0"/>
          <w:sz w:val="21"/>
          <w:szCs w:val="21"/>
          <w:bdr w:val="none" w:color="auto" w:sz="0" w:space="0"/>
          <w:shd w:val="clear" w:fill="FFFFFF"/>
        </w:rPr>
        <w:t>33</w:t>
      </w: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各省、自治区、直辖市人民政府，国务院各部委、各直属机构：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健全社会信用体系，加快构建以信用为核心的新型市场监管体制，有利于进一步推动简政放权和政府职能转变，营造</w:t>
      </w:r>
      <w:bookmarkStart w:id="0" w:name="_GoBack"/>
      <w:bookmarkEnd w:id="0"/>
      <w:r>
        <w:rPr>
          <w:rStyle w:val="6"/>
          <w:rFonts w:hint="eastAsia" w:ascii="仿宋" w:hAnsi="仿宋" w:eastAsia="仿宋" w:cs="仿宋"/>
          <w:b w:val="0"/>
          <w:bCs w:val="0"/>
          <w:i w:val="0"/>
          <w:iCs w:val="0"/>
          <w:caps w:val="0"/>
          <w:color w:val="333333"/>
          <w:spacing w:val="0"/>
          <w:sz w:val="21"/>
          <w:szCs w:val="21"/>
          <w:bdr w:val="none" w:color="auto" w:sz="0" w:space="0"/>
          <w:shd w:val="clear" w:fill="FFFFFF"/>
        </w:rPr>
        <w:t>公平诚信的市场环境。为建立完善守信联合激励和失信联合惩戒制度，加快推进社会诚信建设，现提出如下意见。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ascii="楷体" w:hAnsi="楷体" w:eastAsia="楷体" w:cs="楷体"/>
          <w:b w:val="0"/>
          <w:bCs w:val="0"/>
          <w:i w:val="0"/>
          <w:iCs w:val="0"/>
          <w:caps w:val="0"/>
          <w:color w:val="333333"/>
          <w:spacing w:val="0"/>
          <w:sz w:val="21"/>
          <w:szCs w:val="21"/>
          <w:bdr w:val="none" w:color="auto" w:sz="0" w:space="0"/>
          <w:shd w:val="clear" w:fill="FFFFFF"/>
        </w:rPr>
        <w:t>（一）指导思想。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——褒扬诚信，惩戒失信。充分运用信用激励和约束手段，加大对诚信主体激励和对严重失信主体惩戒力度，让守信者受益、失信者受限，形成褒扬诚信、惩戒失信的制度机制。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部门联动，社会协同。通过信用信息公开和共享，建立跨地区、跨部门、跨领域的联合激励与惩戒机制，形成政府部门协同联动、行业组织自律管理、信用服务机构积极参与、社会舆论广泛监督的共同治理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——依法依规，保护权益。严格依照法律法规和政策规定，科学界定守信和失信行为，开展守信联合激励和失信联合惩戒。建立健全信用修复、异议申诉等机制，保护当事人合法权益。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二、健全褒扬和激励诚信行为机制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（三）多渠道选树诚信典型。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（四）探索建立行政审批“绿色通道”。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（五）优先提供公共服务便利。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（六）优化诚信企业行政监管安排。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各级市场监管部门应根据监管对象的信用记录和信用评价分类，注重运用大数据手段，完善事中事后监管措施，为市场主体提供便利化服务。对符合一定条件的诚信企业，在日常检查、专项检查中优化检查频次。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（七）降低市场交易成本。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（八）大力推介诚信市场主体。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三、健全约束和惩戒失信行为机制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（九）对重点领域和严重失信行为实施联合惩戒。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（十）依法依规加强对失信行为的行政性约束和惩戒。</w:t>
      </w: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（十一）加强对失信行为的市场性约束和惩戒。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（十二）加强对失信行为的行业性约束和惩戒。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（十三）加强对失信行为的社会性约束和惩戒。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（十四）完善个人信用记录，推动联合惩戒措施落实到人。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四、构建守信联合激励和失信联合惩戒协同机制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（十五）建立触发反馈机制。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（十六）实施部省协同和跨区域联动。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（十七）建立健全信用信息公示机制。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推动政务信用信息公开，全面落实行政许可和行政处罚信息上网公开制度。除法律法规另有规定外，县级以上人民政府及其部门要将各类自然人、法人和其他组织的行政许可、行政处罚等信息在</w:t>
      </w:r>
      <w:r>
        <w:rPr>
          <w:rStyle w:val="6"/>
          <w:rFonts w:hint="eastAsia" w:ascii="黑体" w:hAnsi="宋体" w:eastAsia="黑体" w:cs="黑体"/>
          <w:b w:val="0"/>
          <w:bCs w:val="0"/>
          <w:i w:val="0"/>
          <w:iCs w:val="0"/>
          <w:caps w:val="0"/>
          <w:color w:val="2F2E30"/>
          <w:spacing w:val="0"/>
          <w:sz w:val="21"/>
          <w:szCs w:val="21"/>
          <w:bdr w:val="none" w:color="auto" w:sz="0" w:space="0"/>
          <w:shd w:val="clear" w:fill="FFFFFF"/>
        </w:rPr>
        <w:t>7</w:t>
      </w:r>
      <w:r>
        <w:rPr>
          <w:rStyle w:val="6"/>
          <w:rFonts w:hint="eastAsia" w:ascii="仿宋" w:hAnsi="仿宋" w:eastAsia="仿宋" w:cs="仿宋"/>
          <w:b w:val="0"/>
          <w:bCs w:val="0"/>
          <w:i w:val="0"/>
          <w:iCs w:val="0"/>
          <w:caps w:val="0"/>
          <w:color w:val="333333"/>
          <w:spacing w:val="0"/>
          <w:sz w:val="21"/>
          <w:szCs w:val="21"/>
          <w:bdr w:val="none" w:color="auto" w:sz="0" w:space="0"/>
          <w:shd w:val="clear" w:fill="FFFFFF"/>
        </w:rPr>
        <w:t>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（十八）建立健全信用信息归集共享和使用机制。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（十九）规范信用红黑名单制度。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（二十）建立激励和惩戒措施清单制度。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（二十一）建立健全信用修复机制。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（二十二）建立健全信用主体权益保护机制。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（二十三）建立跟踪问效机制。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五、加强法规制度和诚信文化建设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（二十四）完善相关法律法规。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（二十五）建立健全标准规范。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（二十六）加强诚信教育和诚信文化建设。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楷体" w:hAnsi="楷体" w:eastAsia="楷体" w:cs="楷体"/>
          <w:b w:val="0"/>
          <w:bCs w:val="0"/>
          <w:i w:val="0"/>
          <w:iCs w:val="0"/>
          <w:caps w:val="0"/>
          <w:color w:val="333333"/>
          <w:spacing w:val="0"/>
          <w:sz w:val="21"/>
          <w:szCs w:val="21"/>
          <w:bdr w:val="none" w:color="auto" w:sz="0" w:space="0"/>
          <w:shd w:val="clear" w:fill="FFFFFF"/>
        </w:rPr>
        <w:t>（二十七）加强组织实施和督促检查。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50"/>
        <w:jc w:val="both"/>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黑体" w:hAnsi="宋体" w:eastAsia="黑体" w:cs="黑体"/>
          <w:color w:val="2F2E30"/>
          <w:sz w:val="21"/>
          <w:szCs w:val="21"/>
        </w:rPr>
      </w:pPr>
      <w:r>
        <w:rPr>
          <w:rStyle w:val="6"/>
          <w:rFonts w:hint="eastAsia" w:ascii="黑体" w:hAnsi="宋体" w:eastAsia="黑体" w:cs="黑体"/>
          <w:b w:val="0"/>
          <w:bCs w:val="0"/>
          <w:i w:val="0"/>
          <w:iCs w:val="0"/>
          <w:caps w:val="0"/>
          <w:color w:val="2F2E30"/>
          <w:spacing w:val="0"/>
          <w:sz w:val="21"/>
          <w:szCs w:val="21"/>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right"/>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right"/>
        <w:textAlignment w:val="auto"/>
        <w:rPr>
          <w:rFonts w:hint="eastAsia" w:ascii="黑体" w:hAnsi="宋体" w:eastAsia="黑体" w:cs="黑体"/>
          <w:color w:val="2F2E30"/>
          <w:sz w:val="21"/>
          <w:szCs w:val="21"/>
        </w:rPr>
      </w:pPr>
      <w:r>
        <w:rPr>
          <w:rStyle w:val="6"/>
          <w:rFonts w:hint="eastAsia" w:ascii="仿宋" w:hAnsi="仿宋" w:eastAsia="仿宋" w:cs="仿宋"/>
          <w:b w:val="0"/>
          <w:bCs w:val="0"/>
          <w:i w:val="0"/>
          <w:iCs w:val="0"/>
          <w:caps w:val="0"/>
          <w:color w:val="333333"/>
          <w:spacing w:val="0"/>
          <w:sz w:val="21"/>
          <w:szCs w:val="21"/>
          <w:bdr w:val="none" w:color="auto" w:sz="0" w:space="0"/>
          <w:shd w:val="clear" w:fill="FFFFFF"/>
        </w:rPr>
        <w:t>2016年</w:t>
      </w:r>
      <w:r>
        <w:rPr>
          <w:rStyle w:val="6"/>
          <w:rFonts w:hint="eastAsia" w:ascii="黑体" w:hAnsi="宋体" w:eastAsia="黑体" w:cs="黑体"/>
          <w:b w:val="0"/>
          <w:bCs w:val="0"/>
          <w:i w:val="0"/>
          <w:iCs w:val="0"/>
          <w:caps w:val="0"/>
          <w:color w:val="2F2E30"/>
          <w:spacing w:val="0"/>
          <w:sz w:val="21"/>
          <w:szCs w:val="21"/>
          <w:bdr w:val="none" w:color="auto" w:sz="0" w:space="0"/>
          <w:shd w:val="clear" w:fill="FFFFFF"/>
        </w:rPr>
        <w:t>5</w:t>
      </w:r>
      <w:r>
        <w:rPr>
          <w:rStyle w:val="6"/>
          <w:rFonts w:hint="eastAsia" w:ascii="仿宋" w:hAnsi="仿宋" w:eastAsia="仿宋" w:cs="仿宋"/>
          <w:b w:val="0"/>
          <w:bCs w:val="0"/>
          <w:i w:val="0"/>
          <w:iCs w:val="0"/>
          <w:caps w:val="0"/>
          <w:color w:val="333333"/>
          <w:spacing w:val="0"/>
          <w:sz w:val="21"/>
          <w:szCs w:val="21"/>
          <w:bdr w:val="none" w:color="auto" w:sz="0" w:space="0"/>
          <w:shd w:val="clear" w:fill="FFFFFF"/>
        </w:rPr>
        <w:t>月</w:t>
      </w:r>
      <w:r>
        <w:rPr>
          <w:rStyle w:val="6"/>
          <w:rFonts w:hint="eastAsia" w:ascii="黑体" w:hAnsi="宋体" w:eastAsia="黑体" w:cs="黑体"/>
          <w:b w:val="0"/>
          <w:bCs w:val="0"/>
          <w:i w:val="0"/>
          <w:iCs w:val="0"/>
          <w:caps w:val="0"/>
          <w:color w:val="2F2E30"/>
          <w:spacing w:val="0"/>
          <w:sz w:val="21"/>
          <w:szCs w:val="21"/>
          <w:bdr w:val="none" w:color="auto" w:sz="0" w:space="0"/>
          <w:shd w:val="clear" w:fill="FFFFFF"/>
        </w:rPr>
        <w:t>30</w:t>
      </w:r>
      <w:r>
        <w:rPr>
          <w:rStyle w:val="6"/>
          <w:rFonts w:hint="eastAsia" w:ascii="仿宋" w:hAnsi="仿宋" w:eastAsia="仿宋" w:cs="仿宋"/>
          <w:b w:val="0"/>
          <w:bCs w:val="0"/>
          <w:i w:val="0"/>
          <w:iCs w:val="0"/>
          <w:caps w:val="0"/>
          <w:color w:val="333333"/>
          <w:spacing w:val="0"/>
          <w:sz w:val="21"/>
          <w:szCs w:val="21"/>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textAlignment w:val="auto"/>
        <w:rPr>
          <w:rFonts w:hint="eastAsia" w:ascii="微软雅黑" w:hAnsi="微软雅黑" w:eastAsia="微软雅黑" w:cs="微软雅黑"/>
          <w:sz w:val="21"/>
          <w:szCs w:val="21"/>
        </w:rPr>
      </w:pPr>
    </w:p>
    <w:p>
      <w:pPr>
        <w:keepNext w:val="0"/>
        <w:keepLines w:val="0"/>
        <w:pageBreakBefore w:val="0"/>
        <w:widowControl/>
        <w:suppressLineNumbers w:val="0"/>
        <w:pBdr>
          <w:top w:val="single" w:color="EEEEEE" w:sz="4" w:space="10"/>
          <w:left w:val="single" w:color="EEEEEE" w:sz="4" w:space="1"/>
          <w:bottom w:val="single" w:color="EEEEEE" w:sz="4" w:space="10"/>
          <w:right w:val="single" w:color="EEEEEE" w:sz="4" w:space="1"/>
        </w:pBdr>
        <w:shd w:val="clear" w:fill="FFFFFF"/>
        <w:kinsoku/>
        <w:wordWrap/>
        <w:overflowPunct/>
        <w:topLinePunct w:val="0"/>
        <w:autoSpaceDE/>
        <w:autoSpaceDN/>
        <w:bidi w:val="0"/>
        <w:adjustRightInd/>
        <w:snapToGrid/>
        <w:spacing w:before="0" w:beforeAutospacing="0" w:afterAutospacing="0" w:line="240" w:lineRule="atLeast"/>
        <w:ind w:left="0" w:right="0" w:firstLine="0"/>
        <w:jc w:val="center"/>
        <w:textAlignment w:val="auto"/>
        <w:rPr>
          <w:rFonts w:hint="eastAsia" w:ascii="微软雅黑" w:hAnsi="微软雅黑" w:eastAsia="微软雅黑" w:cs="微软雅黑"/>
          <w:i w:val="0"/>
          <w:iCs w:val="0"/>
          <w:caps w:val="0"/>
          <w:color w:val="0C0300"/>
          <w:spacing w:val="0"/>
          <w:sz w:val="21"/>
          <w:szCs w:val="21"/>
        </w:rPr>
      </w:pPr>
    </w:p>
    <w:p>
      <w:pPr>
        <w:keepNext w:val="0"/>
        <w:keepLines w:val="0"/>
        <w:pageBreakBefore w:val="0"/>
        <w:kinsoku/>
        <w:wordWrap/>
        <w:overflowPunct/>
        <w:topLinePunct w:val="0"/>
        <w:autoSpaceDE/>
        <w:autoSpaceDN/>
        <w:bidi w:val="0"/>
        <w:adjustRightInd/>
        <w:snapToGrid/>
        <w:spacing w:line="240" w:lineRule="atLeast"/>
        <w:ind w:right="0"/>
        <w:textAlignment w:val="auto"/>
        <w:rPr>
          <w:sz w:val="21"/>
          <w:szCs w:val="21"/>
        </w:rPr>
      </w:pPr>
      <w:r>
        <w:rPr>
          <w:rFonts w:hint="eastAsia"/>
          <w:sz w:val="21"/>
          <w:szCs w:val="21"/>
        </w:rPr>
        <w:t>http://xy.mdj.gov.cn/cms/html/3532.shtml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TIyMGQ0ZmVmMGI1MDZkODk5MGYzMjg1ZDk2NzAifQ=="/>
  </w:docVars>
  <w:rsids>
    <w:rsidRoot w:val="04D724EE"/>
    <w:rsid w:val="04D724EE"/>
    <w:rsid w:val="1F1A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2022-07-07T07:55:00Z</dcterms:created>
  <dc:creator>初夏的阳光</dc:creator>
  <cp:lastModifiedBy>初夏的阳光</cp:lastModifiedBy>
  <cp:lastPrinted>2022-07-07T07:57:18Z</cp:lastPrinted>
  <dcterms:modified xsi:type="dcterms:W3CDTF">2022-07-07T07:57:28Z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BB0631BF695F447BB8963E975B091283</vt:lpwstr>
  </property>
</Properties>
</file>