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eastAsia="黑体"/>
          <w:sz w:val="32"/>
          <w:szCs w:val="32"/>
        </w:rPr>
      </w:pPr>
      <w:r>
        <w:rPr>
          <w:rFonts w:eastAsia="黑体"/>
          <w:sz w:val="32"/>
          <w:szCs w:val="32"/>
        </w:rPr>
        <w:t>附件2</w:t>
      </w:r>
      <w:bookmarkStart w:id="0" w:name="_GoBack"/>
      <w:bookmarkEnd w:id="0"/>
    </w:p>
    <w:p>
      <w:pPr>
        <w:spacing w:line="500" w:lineRule="exact"/>
        <w:ind w:firstLine="0" w:firstLineChars="0"/>
        <w:jc w:val="center"/>
        <w:rPr>
          <w:rFonts w:eastAsia="方正小标宋简体"/>
          <w:bCs/>
          <w:sz w:val="36"/>
          <w:szCs w:val="36"/>
        </w:rPr>
      </w:pPr>
      <w:r>
        <w:rPr>
          <w:rFonts w:eastAsia="方正小标宋简体"/>
          <w:bCs/>
          <w:sz w:val="36"/>
          <w:szCs w:val="36"/>
        </w:rPr>
        <w:t>森工系统城镇土地使用税等级范围</w:t>
      </w:r>
    </w:p>
    <w:p>
      <w:pPr>
        <w:spacing w:after="156" w:afterLines="50" w:line="500" w:lineRule="exact"/>
        <w:ind w:firstLine="0" w:firstLineChars="0"/>
        <w:jc w:val="center"/>
        <w:rPr>
          <w:rFonts w:eastAsia="方正小标宋简体"/>
          <w:bCs/>
          <w:sz w:val="36"/>
          <w:szCs w:val="36"/>
        </w:rPr>
      </w:pPr>
      <w:r>
        <w:rPr>
          <w:rFonts w:eastAsia="方正小标宋简体"/>
          <w:bCs/>
          <w:sz w:val="36"/>
          <w:szCs w:val="36"/>
        </w:rPr>
        <w:t>海林林业局商业、住宅、工业用地土地级别范围表</w:t>
      </w:r>
    </w:p>
    <w:tbl>
      <w:tblPr>
        <w:tblStyle w:val="6"/>
        <w:tblW w:w="8862" w:type="dxa"/>
        <w:tblInd w:w="-1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50"/>
        <w:gridCol w:w="722"/>
        <w:gridCol w:w="7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Align w:val="center"/>
          </w:tcPr>
          <w:p>
            <w:pPr>
              <w:spacing w:line="280" w:lineRule="exact"/>
              <w:ind w:firstLine="0" w:firstLineChars="0"/>
              <w:jc w:val="center"/>
              <w:rPr>
                <w:rFonts w:eastAsia="黑体"/>
                <w:sz w:val="22"/>
              </w:rPr>
            </w:pPr>
            <w:r>
              <w:rPr>
                <w:rFonts w:eastAsia="黑体"/>
                <w:sz w:val="22"/>
              </w:rPr>
              <w:t>土地</w:t>
            </w:r>
          </w:p>
          <w:p>
            <w:pPr>
              <w:spacing w:line="280" w:lineRule="exact"/>
              <w:ind w:firstLine="0" w:firstLineChars="0"/>
              <w:jc w:val="center"/>
              <w:rPr>
                <w:rFonts w:eastAsia="黑体"/>
                <w:sz w:val="22"/>
              </w:rPr>
            </w:pPr>
            <w:r>
              <w:rPr>
                <w:rFonts w:eastAsia="黑体"/>
                <w:sz w:val="22"/>
              </w:rPr>
              <w:t>用途</w:t>
            </w:r>
          </w:p>
        </w:tc>
        <w:tc>
          <w:tcPr>
            <w:tcW w:w="722" w:type="dxa"/>
            <w:vAlign w:val="center"/>
          </w:tcPr>
          <w:p>
            <w:pPr>
              <w:spacing w:line="280" w:lineRule="exact"/>
              <w:ind w:firstLine="0" w:firstLineChars="0"/>
              <w:jc w:val="center"/>
              <w:rPr>
                <w:rFonts w:eastAsia="黑体"/>
                <w:sz w:val="22"/>
              </w:rPr>
            </w:pPr>
            <w:r>
              <w:rPr>
                <w:rFonts w:eastAsia="黑体"/>
                <w:sz w:val="22"/>
              </w:rPr>
              <w:t>级别</w:t>
            </w:r>
          </w:p>
        </w:tc>
        <w:tc>
          <w:tcPr>
            <w:tcW w:w="7390" w:type="dxa"/>
            <w:vAlign w:val="center"/>
          </w:tcPr>
          <w:p>
            <w:pPr>
              <w:spacing w:line="280" w:lineRule="exact"/>
              <w:ind w:firstLine="0" w:firstLineChars="0"/>
              <w:jc w:val="center"/>
              <w:rPr>
                <w:rFonts w:eastAsia="黑体"/>
                <w:sz w:val="22"/>
              </w:rPr>
            </w:pPr>
            <w:r>
              <w:rPr>
                <w:rFonts w:eastAsia="黑体"/>
                <w:sz w:val="22"/>
              </w:rPr>
              <w:t>级别范围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Merge w:val="restart"/>
            <w:vAlign w:val="center"/>
          </w:tcPr>
          <w:p>
            <w:pPr>
              <w:ind w:firstLine="0" w:firstLineChars="0"/>
              <w:jc w:val="center"/>
              <w:rPr>
                <w:rFonts w:eastAsia="仿宋"/>
                <w:b/>
                <w:szCs w:val="21"/>
              </w:rPr>
            </w:pPr>
            <w:r>
              <w:rPr>
                <w:rFonts w:hAnsi="仿宋" w:eastAsia="仿宋"/>
                <w:b/>
                <w:szCs w:val="21"/>
              </w:rPr>
              <w:t>商业</w:t>
            </w:r>
          </w:p>
          <w:p>
            <w:pPr>
              <w:ind w:firstLine="0" w:firstLineChars="0"/>
              <w:jc w:val="center"/>
              <w:rPr>
                <w:rFonts w:eastAsia="仿宋"/>
                <w:b/>
                <w:szCs w:val="21"/>
              </w:rPr>
            </w:pPr>
            <w:r>
              <w:rPr>
                <w:rFonts w:hAnsi="仿宋" w:eastAsia="仿宋"/>
                <w:b/>
                <w:szCs w:val="21"/>
              </w:rPr>
              <w:t>住宅</w:t>
            </w:r>
          </w:p>
          <w:p>
            <w:pPr>
              <w:ind w:firstLine="0" w:firstLineChars="0"/>
              <w:jc w:val="center"/>
              <w:rPr>
                <w:rFonts w:eastAsia="仿宋"/>
                <w:b/>
                <w:szCs w:val="21"/>
              </w:rPr>
            </w:pPr>
            <w:r>
              <w:rPr>
                <w:rFonts w:hAnsi="仿宋" w:eastAsia="仿宋"/>
                <w:b/>
                <w:szCs w:val="21"/>
              </w:rPr>
              <w:t>用地</w:t>
            </w:r>
          </w:p>
        </w:tc>
        <w:tc>
          <w:tcPr>
            <w:tcW w:w="722" w:type="dxa"/>
            <w:vAlign w:val="center"/>
          </w:tcPr>
          <w:p>
            <w:pPr>
              <w:ind w:firstLine="0" w:firstLineChars="0"/>
              <w:jc w:val="center"/>
              <w:rPr>
                <w:rFonts w:eastAsia="仿宋"/>
                <w:b/>
                <w:szCs w:val="21"/>
              </w:rPr>
            </w:pPr>
            <w:r>
              <w:rPr>
                <w:rFonts w:eastAsia="仿宋"/>
                <w:b/>
                <w:szCs w:val="21"/>
              </w:rPr>
              <w:t>I</w:t>
            </w:r>
          </w:p>
        </w:tc>
        <w:tc>
          <w:tcPr>
            <w:tcW w:w="7390" w:type="dxa"/>
            <w:vAlign w:val="top"/>
          </w:tcPr>
          <w:p>
            <w:pPr>
              <w:spacing w:line="280" w:lineRule="exact"/>
              <w:ind w:firstLine="420"/>
              <w:jc w:val="left"/>
              <w:rPr>
                <w:rFonts w:eastAsia="仿宋_GB2312"/>
                <w:szCs w:val="21"/>
              </w:rPr>
            </w:pPr>
            <w:r>
              <w:rPr>
                <w:rFonts w:eastAsia="仿宋_GB2312"/>
                <w:bCs/>
                <w:szCs w:val="21"/>
              </w:rPr>
              <w:t>海林林业局局址</w:t>
            </w:r>
            <w:r>
              <w:rPr>
                <w:rFonts w:eastAsia="仿宋_GB2312"/>
                <w:szCs w:val="21"/>
              </w:rPr>
              <w:t>：西河路与新华街交叉口起，向东至团结路，向南至林苑五区与林苑六区南侧围墙，沿林苑五区与林苑六区南侧围墙向西至西河路，沿西河路至起点所围合成的闭合区域。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Merge w:val="continue"/>
            <w:vAlign w:val="center"/>
          </w:tcPr>
          <w:p>
            <w:pPr>
              <w:ind w:firstLine="0" w:firstLineChars="0"/>
              <w:jc w:val="center"/>
              <w:rPr>
                <w:rFonts w:eastAsia="仿宋"/>
                <w:b/>
                <w:szCs w:val="21"/>
              </w:rPr>
            </w:pPr>
          </w:p>
        </w:tc>
        <w:tc>
          <w:tcPr>
            <w:tcW w:w="722" w:type="dxa"/>
            <w:vAlign w:val="center"/>
          </w:tcPr>
          <w:p>
            <w:pPr>
              <w:ind w:firstLine="0" w:firstLineChars="0"/>
              <w:jc w:val="center"/>
              <w:rPr>
                <w:rFonts w:eastAsia="仿宋"/>
                <w:b/>
                <w:szCs w:val="21"/>
              </w:rPr>
            </w:pPr>
            <w:r>
              <w:rPr>
                <w:rFonts w:eastAsia="仿宋"/>
                <w:b/>
                <w:szCs w:val="21"/>
              </w:rPr>
              <w:t>II</w:t>
            </w:r>
          </w:p>
        </w:tc>
        <w:tc>
          <w:tcPr>
            <w:tcW w:w="7390" w:type="dxa"/>
            <w:vAlign w:val="top"/>
          </w:tcPr>
          <w:p>
            <w:pPr>
              <w:spacing w:line="280" w:lineRule="exact"/>
              <w:ind w:firstLine="420"/>
              <w:jc w:val="left"/>
              <w:rPr>
                <w:rFonts w:eastAsia="仿宋_GB2312"/>
                <w:szCs w:val="21"/>
              </w:rPr>
            </w:pPr>
            <w:r>
              <w:rPr>
                <w:rFonts w:eastAsia="仿宋_GB2312"/>
                <w:bCs/>
                <w:szCs w:val="21"/>
              </w:rPr>
              <w:t>海林林业局局址：</w:t>
            </w:r>
            <w:r>
              <w:rPr>
                <w:rFonts w:eastAsia="仿宋_GB2312"/>
                <w:szCs w:val="21"/>
              </w:rPr>
              <w:t>除一等地以外的土地利用总体规划确定的国有建设用地。</w:t>
            </w:r>
          </w:p>
          <w:p>
            <w:pPr>
              <w:spacing w:line="280" w:lineRule="exact"/>
              <w:ind w:firstLine="420"/>
              <w:jc w:val="left"/>
              <w:rPr>
                <w:rFonts w:eastAsia="仿宋_GB2312"/>
                <w:szCs w:val="21"/>
              </w:rPr>
            </w:pPr>
            <w:r>
              <w:rPr>
                <w:rFonts w:eastAsia="仿宋_GB2312"/>
                <w:bCs/>
                <w:szCs w:val="21"/>
              </w:rPr>
              <w:t>横道河子林场：</w:t>
            </w:r>
            <w:r>
              <w:rPr>
                <w:rFonts w:eastAsia="仿宋_GB2312"/>
                <w:szCs w:val="21"/>
              </w:rPr>
              <w:t>沿原301国道两侧临街一宗地。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Merge w:val="continue"/>
            <w:vAlign w:val="center"/>
          </w:tcPr>
          <w:p>
            <w:pPr>
              <w:ind w:firstLine="0" w:firstLineChars="0"/>
              <w:jc w:val="center"/>
              <w:rPr>
                <w:rFonts w:eastAsia="仿宋"/>
                <w:b/>
                <w:szCs w:val="21"/>
              </w:rPr>
            </w:pPr>
          </w:p>
        </w:tc>
        <w:tc>
          <w:tcPr>
            <w:tcW w:w="722" w:type="dxa"/>
            <w:vAlign w:val="center"/>
          </w:tcPr>
          <w:p>
            <w:pPr>
              <w:ind w:firstLine="0" w:firstLineChars="0"/>
              <w:jc w:val="center"/>
              <w:rPr>
                <w:rFonts w:eastAsia="仿宋"/>
                <w:b/>
                <w:szCs w:val="21"/>
              </w:rPr>
            </w:pPr>
            <w:r>
              <w:rPr>
                <w:rFonts w:hAnsi="仿宋" w:eastAsia="仿宋"/>
                <w:b/>
                <w:szCs w:val="21"/>
              </w:rPr>
              <w:t>Ⅲ</w:t>
            </w:r>
          </w:p>
        </w:tc>
        <w:tc>
          <w:tcPr>
            <w:tcW w:w="7390" w:type="dxa"/>
            <w:vAlign w:val="top"/>
          </w:tcPr>
          <w:p>
            <w:pPr>
              <w:spacing w:line="280" w:lineRule="exact"/>
              <w:ind w:firstLine="420"/>
              <w:jc w:val="left"/>
              <w:rPr>
                <w:rFonts w:eastAsia="仿宋_GB2312"/>
                <w:szCs w:val="21"/>
              </w:rPr>
            </w:pPr>
            <w:r>
              <w:rPr>
                <w:rFonts w:eastAsia="仿宋_GB2312"/>
                <w:bCs/>
                <w:szCs w:val="21"/>
              </w:rPr>
              <w:t>横道河子林场：</w:t>
            </w:r>
            <w:r>
              <w:rPr>
                <w:rFonts w:eastAsia="仿宋_GB2312"/>
                <w:szCs w:val="21"/>
              </w:rPr>
              <w:t>除二等地以外的土地利用总体规划确定的国有建设用地。</w:t>
            </w:r>
          </w:p>
          <w:p>
            <w:pPr>
              <w:spacing w:line="280" w:lineRule="exact"/>
              <w:ind w:firstLine="420"/>
              <w:jc w:val="left"/>
              <w:rPr>
                <w:rFonts w:eastAsia="仿宋_GB2312"/>
                <w:szCs w:val="21"/>
              </w:rPr>
            </w:pPr>
            <w:r>
              <w:rPr>
                <w:rFonts w:eastAsia="仿宋_GB2312"/>
                <w:bCs/>
                <w:szCs w:val="21"/>
              </w:rPr>
              <w:t>山市林场：</w:t>
            </w:r>
            <w:r>
              <w:rPr>
                <w:rFonts w:eastAsia="仿宋_GB2312"/>
                <w:szCs w:val="21"/>
              </w:rPr>
              <w:t>新林场场址所在地（山市火车站东侧）土地利用总体规划确定的国有建设用地。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Merge w:val="continue"/>
            <w:vAlign w:val="center"/>
          </w:tcPr>
          <w:p>
            <w:pPr>
              <w:ind w:firstLine="0" w:firstLineChars="0"/>
              <w:jc w:val="center"/>
              <w:rPr>
                <w:rFonts w:eastAsia="仿宋"/>
                <w:b/>
                <w:szCs w:val="21"/>
              </w:rPr>
            </w:pPr>
          </w:p>
        </w:tc>
        <w:tc>
          <w:tcPr>
            <w:tcW w:w="722" w:type="dxa"/>
            <w:vAlign w:val="center"/>
          </w:tcPr>
          <w:p>
            <w:pPr>
              <w:ind w:firstLine="0" w:firstLineChars="0"/>
              <w:jc w:val="center"/>
              <w:rPr>
                <w:rFonts w:eastAsia="仿宋"/>
                <w:b/>
                <w:szCs w:val="21"/>
              </w:rPr>
            </w:pPr>
            <w:r>
              <w:rPr>
                <w:rFonts w:hAnsi="仿宋" w:eastAsia="仿宋"/>
                <w:b/>
                <w:szCs w:val="21"/>
              </w:rPr>
              <w:t>Ⅳ</w:t>
            </w:r>
          </w:p>
        </w:tc>
        <w:tc>
          <w:tcPr>
            <w:tcW w:w="7390" w:type="dxa"/>
            <w:vAlign w:val="top"/>
          </w:tcPr>
          <w:p>
            <w:pPr>
              <w:spacing w:line="280" w:lineRule="exact"/>
              <w:ind w:firstLine="420"/>
              <w:jc w:val="left"/>
              <w:rPr>
                <w:rFonts w:eastAsia="仿宋_GB2312"/>
                <w:szCs w:val="21"/>
              </w:rPr>
            </w:pPr>
            <w:r>
              <w:rPr>
                <w:rFonts w:eastAsia="仿宋_GB2312"/>
                <w:bCs/>
                <w:szCs w:val="21"/>
              </w:rPr>
              <w:t>山市林场：</w:t>
            </w:r>
            <w:r>
              <w:rPr>
                <w:rFonts w:eastAsia="仿宋_GB2312"/>
                <w:szCs w:val="21"/>
              </w:rPr>
              <w:t>除三等地以外的土地利用总体规划确定的国有建设用地。</w:t>
            </w:r>
          </w:p>
          <w:p>
            <w:pPr>
              <w:spacing w:line="280" w:lineRule="exact"/>
              <w:ind w:firstLine="420"/>
              <w:jc w:val="left"/>
              <w:rPr>
                <w:rFonts w:eastAsia="仿宋_GB2312"/>
                <w:szCs w:val="21"/>
              </w:rPr>
            </w:pPr>
            <w:r>
              <w:rPr>
                <w:rFonts w:eastAsia="仿宋_GB2312"/>
                <w:szCs w:val="21"/>
              </w:rPr>
              <w:t>三部落林场、三十五林场、二十二林场、大石沟林场、五十八林场、夹皮沟林场、密江林场、奋斗林场、道林林场、治山林场、青岭子林场、石河实验林场：土地利用总体规划确定的国有建设用地。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c>
          <w:tcPr>
            <w:tcW w:w="750" w:type="dxa"/>
            <w:vAlign w:val="center"/>
          </w:tcPr>
          <w:p>
            <w:pPr>
              <w:ind w:firstLine="0" w:firstLineChars="0"/>
              <w:jc w:val="center"/>
              <w:rPr>
                <w:rFonts w:eastAsia="仿宋"/>
                <w:b/>
                <w:szCs w:val="21"/>
              </w:rPr>
            </w:pPr>
            <w:r>
              <w:rPr>
                <w:rFonts w:hAnsi="仿宋" w:eastAsia="仿宋"/>
                <w:b/>
                <w:szCs w:val="21"/>
              </w:rPr>
              <w:t>工业</w:t>
            </w:r>
          </w:p>
          <w:p>
            <w:pPr>
              <w:ind w:firstLine="0" w:firstLineChars="0"/>
              <w:jc w:val="center"/>
              <w:rPr>
                <w:rFonts w:eastAsia="仿宋"/>
                <w:b/>
                <w:szCs w:val="21"/>
              </w:rPr>
            </w:pPr>
            <w:r>
              <w:rPr>
                <w:rFonts w:hAnsi="仿宋" w:eastAsia="仿宋"/>
                <w:b/>
                <w:szCs w:val="21"/>
              </w:rPr>
              <w:t>用地</w:t>
            </w:r>
          </w:p>
        </w:tc>
        <w:tc>
          <w:tcPr>
            <w:tcW w:w="722" w:type="dxa"/>
            <w:vAlign w:val="center"/>
          </w:tcPr>
          <w:p>
            <w:pPr>
              <w:ind w:firstLine="0" w:firstLineChars="0"/>
              <w:jc w:val="center"/>
              <w:rPr>
                <w:rFonts w:eastAsia="仿宋"/>
                <w:b/>
                <w:szCs w:val="21"/>
              </w:rPr>
            </w:pPr>
            <w:r>
              <w:rPr>
                <w:rFonts w:eastAsia="仿宋"/>
                <w:b/>
                <w:szCs w:val="21"/>
              </w:rPr>
              <w:t>I</w:t>
            </w:r>
          </w:p>
        </w:tc>
        <w:tc>
          <w:tcPr>
            <w:tcW w:w="7390" w:type="dxa"/>
            <w:vAlign w:val="top"/>
          </w:tcPr>
          <w:p>
            <w:pPr>
              <w:spacing w:line="280" w:lineRule="exact"/>
              <w:ind w:firstLine="420"/>
              <w:jc w:val="left"/>
              <w:rPr>
                <w:rFonts w:eastAsia="仿宋_GB2312"/>
                <w:szCs w:val="21"/>
              </w:rPr>
            </w:pPr>
            <w:r>
              <w:rPr>
                <w:rFonts w:eastAsia="仿宋_GB2312"/>
                <w:szCs w:val="21"/>
              </w:rPr>
              <w:t>海林林业局局址、二十二林场、大石沟林场、五十八林场、三十五林场、夹皮沟林场、密江林场、奋斗林场、道林林场、山市林场、横道河子林场、三部落林场、治山林场、青岭子林场、石河实验林场：土地利用总体规划确定的国有建设用地。</w:t>
            </w:r>
          </w:p>
        </w:tc>
      </w:tr>
    </w:tbl>
    <w:p>
      <w:pPr>
        <w:ind w:firstLine="0" w:firstLineChars="0"/>
        <w:jc w:val="center"/>
        <w:rPr>
          <w:rFonts w:eastAsia="仿宋"/>
          <w:b/>
          <w:bCs/>
          <w:sz w:val="24"/>
          <w:szCs w:val="24"/>
        </w:rPr>
      </w:pPr>
    </w:p>
    <w:p>
      <w:pPr>
        <w:spacing w:after="156" w:afterLines="50" w:line="500" w:lineRule="exact"/>
        <w:ind w:firstLine="0" w:firstLineChars="0"/>
        <w:jc w:val="center"/>
        <w:rPr>
          <w:rFonts w:eastAsia="方正小标宋简体"/>
          <w:bCs/>
          <w:sz w:val="36"/>
          <w:szCs w:val="36"/>
        </w:rPr>
      </w:pPr>
      <w:r>
        <w:rPr>
          <w:rFonts w:eastAsia="方正小标宋简体"/>
          <w:bCs/>
          <w:sz w:val="36"/>
          <w:szCs w:val="36"/>
        </w:rPr>
        <w:t>柴河林业局商业、住宅、工业用地土地级别范围表</w:t>
      </w:r>
    </w:p>
    <w:tbl>
      <w:tblPr>
        <w:tblStyle w:val="6"/>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37"/>
        <w:gridCol w:w="736"/>
        <w:gridCol w:w="7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Align w:val="center"/>
          </w:tcPr>
          <w:p>
            <w:pPr>
              <w:ind w:firstLine="0" w:firstLineChars="0"/>
              <w:jc w:val="center"/>
              <w:rPr>
                <w:rFonts w:eastAsia="黑体"/>
                <w:sz w:val="22"/>
              </w:rPr>
            </w:pPr>
            <w:r>
              <w:rPr>
                <w:rFonts w:eastAsia="黑体"/>
                <w:sz w:val="22"/>
              </w:rPr>
              <w:t>土地</w:t>
            </w:r>
          </w:p>
          <w:p>
            <w:pPr>
              <w:ind w:firstLine="0" w:firstLineChars="0"/>
              <w:jc w:val="center"/>
              <w:rPr>
                <w:rFonts w:eastAsia="黑体"/>
                <w:sz w:val="22"/>
              </w:rPr>
            </w:pPr>
            <w:r>
              <w:rPr>
                <w:rFonts w:eastAsia="黑体"/>
                <w:sz w:val="22"/>
              </w:rPr>
              <w:t>用途</w:t>
            </w:r>
          </w:p>
        </w:tc>
        <w:tc>
          <w:tcPr>
            <w:tcW w:w="736" w:type="dxa"/>
            <w:vAlign w:val="center"/>
          </w:tcPr>
          <w:p>
            <w:pPr>
              <w:ind w:firstLine="0" w:firstLineChars="0"/>
              <w:jc w:val="center"/>
              <w:rPr>
                <w:rFonts w:eastAsia="黑体"/>
                <w:sz w:val="22"/>
              </w:rPr>
            </w:pPr>
            <w:r>
              <w:rPr>
                <w:rFonts w:eastAsia="黑体"/>
                <w:sz w:val="22"/>
              </w:rPr>
              <w:t>级别</w:t>
            </w:r>
          </w:p>
        </w:tc>
        <w:tc>
          <w:tcPr>
            <w:tcW w:w="7527" w:type="dxa"/>
            <w:vAlign w:val="center"/>
          </w:tcPr>
          <w:p>
            <w:pPr>
              <w:ind w:firstLine="0" w:firstLineChars="0"/>
              <w:jc w:val="center"/>
              <w:rPr>
                <w:rFonts w:eastAsia="黑体"/>
                <w:sz w:val="22"/>
              </w:rPr>
            </w:pPr>
            <w:r>
              <w:rPr>
                <w:rFonts w:eastAsia="黑体"/>
                <w:sz w:val="22"/>
              </w:rPr>
              <w:t>级别范围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vAlign w:val="center"/>
          </w:tcPr>
          <w:p>
            <w:pPr>
              <w:ind w:firstLine="0" w:firstLineChars="0"/>
              <w:jc w:val="center"/>
              <w:rPr>
                <w:rFonts w:eastAsia="仿宋"/>
                <w:b/>
                <w:szCs w:val="21"/>
              </w:rPr>
            </w:pPr>
            <w:r>
              <w:rPr>
                <w:rFonts w:hAnsi="仿宋" w:eastAsia="仿宋"/>
                <w:b/>
                <w:szCs w:val="21"/>
              </w:rPr>
              <w:t>商业</w:t>
            </w:r>
          </w:p>
          <w:p>
            <w:pPr>
              <w:ind w:firstLine="0" w:firstLineChars="0"/>
              <w:jc w:val="center"/>
              <w:rPr>
                <w:rFonts w:eastAsia="仿宋"/>
                <w:b/>
                <w:szCs w:val="21"/>
              </w:rPr>
            </w:pPr>
            <w:r>
              <w:rPr>
                <w:rFonts w:hAnsi="仿宋" w:eastAsia="仿宋"/>
                <w:b/>
                <w:szCs w:val="21"/>
              </w:rPr>
              <w:t>住宅</w:t>
            </w:r>
          </w:p>
          <w:p>
            <w:pPr>
              <w:ind w:firstLine="0" w:firstLineChars="0"/>
              <w:jc w:val="center"/>
              <w:rPr>
                <w:rFonts w:eastAsia="仿宋"/>
                <w:b/>
                <w:szCs w:val="21"/>
              </w:rPr>
            </w:pPr>
            <w:r>
              <w:rPr>
                <w:rFonts w:hAnsi="仿宋" w:eastAsia="仿宋"/>
                <w:b/>
                <w:szCs w:val="21"/>
              </w:rPr>
              <w:t>用地</w:t>
            </w:r>
          </w:p>
        </w:tc>
        <w:tc>
          <w:tcPr>
            <w:tcW w:w="736" w:type="dxa"/>
            <w:vAlign w:val="center"/>
          </w:tcPr>
          <w:p>
            <w:pPr>
              <w:ind w:firstLine="0" w:firstLineChars="0"/>
              <w:jc w:val="center"/>
              <w:rPr>
                <w:rFonts w:eastAsia="仿宋"/>
                <w:b/>
                <w:szCs w:val="21"/>
              </w:rPr>
            </w:pPr>
            <w:r>
              <w:rPr>
                <w:rFonts w:eastAsia="仿宋"/>
                <w:b/>
                <w:szCs w:val="21"/>
              </w:rPr>
              <w:t>I</w:t>
            </w:r>
          </w:p>
        </w:tc>
        <w:tc>
          <w:tcPr>
            <w:tcW w:w="7527" w:type="dxa"/>
            <w:vAlign w:val="top"/>
          </w:tcPr>
          <w:p>
            <w:pPr>
              <w:spacing w:line="280" w:lineRule="exact"/>
              <w:ind w:firstLine="411" w:firstLineChars="196"/>
              <w:jc w:val="left"/>
              <w:rPr>
                <w:rFonts w:eastAsia="仿宋_GB2312"/>
                <w:szCs w:val="21"/>
              </w:rPr>
            </w:pPr>
            <w:r>
              <w:rPr>
                <w:rFonts w:eastAsia="仿宋_GB2312"/>
                <w:bCs/>
                <w:szCs w:val="21"/>
              </w:rPr>
              <w:t>柴河林业局局址：</w:t>
            </w:r>
            <w:r>
              <w:rPr>
                <w:rFonts w:eastAsia="仿宋_GB2312"/>
                <w:szCs w:val="21"/>
              </w:rPr>
              <w:t>自阳明街与林兴路交叉口起，沿林兴路向南至平安街，沿平安街向东至友谊路，沿友谊路向北至安居街，沿安居街向东至兴旺路，沿兴旺路向北至柴河林业局基层法院南侧大墙，沿柴河林业局基层法院南侧大墙向东至环城路，沿环城路向北至中心街，沿中心街向西至友谊路，沿友谊路向北至阳明街，所围合成的闭合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vAlign w:val="top"/>
          </w:tcPr>
          <w:p>
            <w:pPr>
              <w:ind w:firstLine="0" w:firstLineChars="0"/>
              <w:jc w:val="left"/>
              <w:rPr>
                <w:rFonts w:eastAsia="仿宋"/>
                <w:b/>
                <w:szCs w:val="21"/>
              </w:rPr>
            </w:pPr>
          </w:p>
        </w:tc>
        <w:tc>
          <w:tcPr>
            <w:tcW w:w="736" w:type="dxa"/>
            <w:vAlign w:val="center"/>
          </w:tcPr>
          <w:p>
            <w:pPr>
              <w:ind w:firstLine="0" w:firstLineChars="0"/>
              <w:jc w:val="center"/>
              <w:rPr>
                <w:rFonts w:eastAsia="仿宋"/>
                <w:b/>
                <w:szCs w:val="21"/>
              </w:rPr>
            </w:pPr>
            <w:r>
              <w:rPr>
                <w:rFonts w:eastAsia="仿宋"/>
                <w:b/>
                <w:szCs w:val="21"/>
              </w:rPr>
              <w:t>II</w:t>
            </w:r>
          </w:p>
        </w:tc>
        <w:tc>
          <w:tcPr>
            <w:tcW w:w="7527" w:type="dxa"/>
            <w:vAlign w:val="top"/>
          </w:tcPr>
          <w:p>
            <w:pPr>
              <w:spacing w:line="280" w:lineRule="exact"/>
              <w:ind w:firstLine="411" w:firstLineChars="196"/>
              <w:jc w:val="left"/>
              <w:rPr>
                <w:rFonts w:eastAsia="仿宋_GB2312"/>
                <w:szCs w:val="21"/>
              </w:rPr>
            </w:pPr>
            <w:r>
              <w:rPr>
                <w:rFonts w:eastAsia="仿宋_GB2312"/>
                <w:bCs/>
                <w:szCs w:val="21"/>
              </w:rPr>
              <w:t>柴河林业局局址：</w:t>
            </w:r>
            <w:r>
              <w:rPr>
                <w:rFonts w:eastAsia="仿宋_GB2312"/>
                <w:szCs w:val="21"/>
              </w:rPr>
              <w:t>除一等地以外的土地利用总体规划确定的国有建设用地。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vAlign w:val="top"/>
          </w:tcPr>
          <w:p>
            <w:pPr>
              <w:ind w:firstLine="0" w:firstLineChars="0"/>
              <w:jc w:val="left"/>
              <w:rPr>
                <w:rFonts w:eastAsia="仿宋"/>
                <w:b/>
                <w:szCs w:val="21"/>
              </w:rPr>
            </w:pPr>
          </w:p>
        </w:tc>
        <w:tc>
          <w:tcPr>
            <w:tcW w:w="736" w:type="dxa"/>
            <w:vAlign w:val="center"/>
          </w:tcPr>
          <w:p>
            <w:pPr>
              <w:ind w:firstLine="0" w:firstLineChars="0"/>
              <w:jc w:val="center"/>
              <w:rPr>
                <w:rFonts w:eastAsia="仿宋"/>
                <w:b/>
                <w:szCs w:val="21"/>
              </w:rPr>
            </w:pPr>
            <w:r>
              <w:rPr>
                <w:rFonts w:hAnsi="仿宋" w:eastAsia="仿宋"/>
                <w:b/>
                <w:szCs w:val="21"/>
              </w:rPr>
              <w:t>Ⅲ</w:t>
            </w:r>
          </w:p>
        </w:tc>
        <w:tc>
          <w:tcPr>
            <w:tcW w:w="7527" w:type="dxa"/>
            <w:vAlign w:val="top"/>
          </w:tcPr>
          <w:p>
            <w:pPr>
              <w:spacing w:line="280" w:lineRule="exact"/>
              <w:ind w:firstLine="411" w:firstLineChars="196"/>
              <w:jc w:val="left"/>
              <w:rPr>
                <w:rFonts w:eastAsia="仿宋_GB2312"/>
                <w:szCs w:val="21"/>
              </w:rPr>
            </w:pPr>
            <w:r>
              <w:rPr>
                <w:rFonts w:eastAsia="仿宋_GB2312"/>
                <w:bCs/>
                <w:szCs w:val="21"/>
              </w:rPr>
              <w:t>宏声林场：</w:t>
            </w:r>
            <w:r>
              <w:rPr>
                <w:rFonts w:eastAsia="仿宋_GB2312"/>
                <w:szCs w:val="21"/>
              </w:rPr>
              <w:t>沿主要公路两侧临街一宗地。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vAlign w:val="top"/>
          </w:tcPr>
          <w:p>
            <w:pPr>
              <w:ind w:firstLine="0" w:firstLineChars="0"/>
              <w:jc w:val="left"/>
              <w:rPr>
                <w:rFonts w:eastAsia="仿宋"/>
                <w:b/>
                <w:szCs w:val="21"/>
              </w:rPr>
            </w:pPr>
          </w:p>
        </w:tc>
        <w:tc>
          <w:tcPr>
            <w:tcW w:w="736" w:type="dxa"/>
            <w:vAlign w:val="center"/>
          </w:tcPr>
          <w:p>
            <w:pPr>
              <w:ind w:firstLine="0" w:firstLineChars="0"/>
              <w:jc w:val="center"/>
              <w:rPr>
                <w:rFonts w:eastAsia="仿宋"/>
                <w:b/>
                <w:szCs w:val="21"/>
              </w:rPr>
            </w:pPr>
            <w:r>
              <w:rPr>
                <w:rFonts w:hAnsi="仿宋" w:eastAsia="仿宋"/>
                <w:b/>
                <w:szCs w:val="21"/>
              </w:rPr>
              <w:t>Ⅳ</w:t>
            </w:r>
          </w:p>
        </w:tc>
        <w:tc>
          <w:tcPr>
            <w:tcW w:w="7527" w:type="dxa"/>
            <w:vAlign w:val="top"/>
          </w:tcPr>
          <w:p>
            <w:pPr>
              <w:spacing w:line="280" w:lineRule="exact"/>
              <w:ind w:firstLine="420"/>
              <w:jc w:val="left"/>
              <w:rPr>
                <w:rFonts w:eastAsia="仿宋_GB2312"/>
                <w:szCs w:val="21"/>
              </w:rPr>
            </w:pPr>
            <w:r>
              <w:rPr>
                <w:rFonts w:eastAsia="仿宋_GB2312"/>
                <w:bCs/>
                <w:szCs w:val="21"/>
              </w:rPr>
              <w:t>宏声林场：</w:t>
            </w:r>
            <w:r>
              <w:rPr>
                <w:rFonts w:eastAsia="仿宋_GB2312"/>
                <w:szCs w:val="21"/>
              </w:rPr>
              <w:t>除三等地以外的土地利用总体规划确定的国有建设用地。</w:t>
            </w:r>
          </w:p>
          <w:p>
            <w:pPr>
              <w:spacing w:line="280" w:lineRule="exact"/>
              <w:ind w:firstLine="420"/>
              <w:jc w:val="left"/>
              <w:rPr>
                <w:rFonts w:eastAsia="仿宋_GB2312"/>
                <w:szCs w:val="21"/>
              </w:rPr>
            </w:pPr>
            <w:r>
              <w:rPr>
                <w:rFonts w:eastAsia="仿宋_GB2312"/>
                <w:szCs w:val="21"/>
              </w:rPr>
              <w:t>临江林场、头道林场、二道林场、新兴林场、卫星林场、红光林场、红星林场、细鳞河林场、秋皮沟林场、柳毛河林场、大青林场、板桥林场、群力林场、桦木林场、向日林场、三块石林场、东风林场、黑牛背林场、晨光林场、莲花林场、青梅实验林场：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vAlign w:val="center"/>
          </w:tcPr>
          <w:p>
            <w:pPr>
              <w:ind w:firstLine="0" w:firstLineChars="0"/>
              <w:jc w:val="center"/>
              <w:rPr>
                <w:rFonts w:eastAsia="仿宋"/>
                <w:b/>
                <w:szCs w:val="21"/>
              </w:rPr>
            </w:pPr>
            <w:r>
              <w:rPr>
                <w:rFonts w:hAnsi="仿宋" w:eastAsia="仿宋"/>
                <w:b/>
                <w:szCs w:val="21"/>
              </w:rPr>
              <w:t>工业</w:t>
            </w:r>
          </w:p>
          <w:p>
            <w:pPr>
              <w:ind w:firstLine="0" w:firstLineChars="0"/>
              <w:jc w:val="center"/>
              <w:rPr>
                <w:rFonts w:eastAsia="仿宋"/>
                <w:b/>
                <w:szCs w:val="21"/>
              </w:rPr>
            </w:pPr>
            <w:r>
              <w:rPr>
                <w:rFonts w:hAnsi="仿宋" w:eastAsia="仿宋"/>
                <w:b/>
                <w:szCs w:val="21"/>
              </w:rPr>
              <w:t>用地</w:t>
            </w:r>
          </w:p>
        </w:tc>
        <w:tc>
          <w:tcPr>
            <w:tcW w:w="736" w:type="dxa"/>
            <w:vAlign w:val="center"/>
          </w:tcPr>
          <w:p>
            <w:pPr>
              <w:ind w:firstLine="0" w:firstLineChars="0"/>
              <w:jc w:val="center"/>
              <w:rPr>
                <w:rFonts w:eastAsia="仿宋"/>
                <w:b/>
                <w:szCs w:val="21"/>
              </w:rPr>
            </w:pPr>
            <w:r>
              <w:rPr>
                <w:rFonts w:eastAsia="仿宋"/>
                <w:b/>
                <w:szCs w:val="21"/>
              </w:rPr>
              <w:t>I</w:t>
            </w:r>
          </w:p>
        </w:tc>
        <w:tc>
          <w:tcPr>
            <w:tcW w:w="7527" w:type="dxa"/>
            <w:vAlign w:val="top"/>
          </w:tcPr>
          <w:p>
            <w:pPr>
              <w:spacing w:line="280" w:lineRule="exact"/>
              <w:ind w:firstLine="411" w:firstLineChars="196"/>
              <w:jc w:val="left"/>
              <w:rPr>
                <w:rFonts w:eastAsia="仿宋_GB2312"/>
                <w:szCs w:val="21"/>
              </w:rPr>
            </w:pPr>
            <w:r>
              <w:rPr>
                <w:rFonts w:eastAsia="仿宋_GB2312"/>
                <w:bCs/>
                <w:szCs w:val="21"/>
              </w:rPr>
              <w:t>青梅实验林场：</w:t>
            </w:r>
            <w:r>
              <w:rPr>
                <w:rFonts w:eastAsia="仿宋_GB2312"/>
                <w:szCs w:val="21"/>
              </w:rPr>
              <w:t>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vAlign w:val="top"/>
          </w:tcPr>
          <w:p>
            <w:pPr>
              <w:ind w:firstLine="0" w:firstLineChars="0"/>
              <w:jc w:val="left"/>
              <w:rPr>
                <w:rFonts w:eastAsia="仿宋"/>
                <w:b/>
                <w:szCs w:val="21"/>
              </w:rPr>
            </w:pPr>
          </w:p>
        </w:tc>
        <w:tc>
          <w:tcPr>
            <w:tcW w:w="736" w:type="dxa"/>
            <w:vAlign w:val="center"/>
          </w:tcPr>
          <w:p>
            <w:pPr>
              <w:ind w:firstLine="0" w:firstLineChars="0"/>
              <w:jc w:val="center"/>
              <w:rPr>
                <w:rFonts w:eastAsia="仿宋"/>
                <w:b/>
                <w:szCs w:val="21"/>
              </w:rPr>
            </w:pPr>
            <w:r>
              <w:rPr>
                <w:rFonts w:eastAsia="仿宋"/>
                <w:b/>
                <w:szCs w:val="21"/>
              </w:rPr>
              <w:t>II</w:t>
            </w:r>
          </w:p>
        </w:tc>
        <w:tc>
          <w:tcPr>
            <w:tcW w:w="7527" w:type="dxa"/>
            <w:vAlign w:val="top"/>
          </w:tcPr>
          <w:p>
            <w:pPr>
              <w:spacing w:line="280" w:lineRule="exact"/>
              <w:ind w:firstLine="420"/>
              <w:jc w:val="left"/>
              <w:rPr>
                <w:rFonts w:eastAsia="仿宋_GB2312"/>
                <w:szCs w:val="21"/>
              </w:rPr>
            </w:pPr>
            <w:r>
              <w:rPr>
                <w:rFonts w:eastAsia="仿宋_GB2312"/>
                <w:szCs w:val="21"/>
              </w:rPr>
              <w:t>柴河林业局局址、临江林场、头道林场、二道林场、宏声林场、新兴林场、卫星林场、红光林场、红星林场、细鳞河林场、秋皮沟林场、柳毛河林场、大青林场、板桥林场、群力林场、桦木林场、向日林场、三块石林场。</w:t>
            </w:r>
          </w:p>
        </w:tc>
      </w:tr>
    </w:tbl>
    <w:p>
      <w:pPr>
        <w:spacing w:after="312" w:afterLines="100" w:line="500" w:lineRule="exact"/>
        <w:ind w:firstLine="0" w:firstLineChars="0"/>
        <w:jc w:val="center"/>
        <w:rPr>
          <w:rFonts w:eastAsia="方正小标宋简体"/>
          <w:bCs/>
          <w:sz w:val="34"/>
          <w:szCs w:val="36"/>
        </w:rPr>
      </w:pPr>
      <w:r>
        <w:rPr>
          <w:rFonts w:eastAsia="方正小标宋简体"/>
          <w:bCs/>
          <w:sz w:val="34"/>
          <w:szCs w:val="36"/>
        </w:rPr>
        <w:t>大海林林业局商业、住宅、工业用地土地级别范围表</w:t>
      </w:r>
    </w:p>
    <w:tbl>
      <w:tblPr>
        <w:tblStyle w:val="6"/>
        <w:tblW w:w="8849" w:type="dxa"/>
        <w:jc w:val="center"/>
        <w:tblInd w:w="-1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37"/>
        <w:gridCol w:w="637"/>
        <w:gridCol w:w="74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737" w:type="dxa"/>
            <w:vAlign w:val="center"/>
          </w:tcPr>
          <w:p>
            <w:pPr>
              <w:ind w:firstLine="0" w:firstLineChars="0"/>
              <w:jc w:val="center"/>
              <w:rPr>
                <w:rFonts w:eastAsia="黑体"/>
                <w:sz w:val="22"/>
              </w:rPr>
            </w:pPr>
            <w:r>
              <w:rPr>
                <w:rFonts w:eastAsia="黑体"/>
                <w:sz w:val="22"/>
              </w:rPr>
              <w:t>土地</w:t>
            </w:r>
          </w:p>
          <w:p>
            <w:pPr>
              <w:ind w:firstLine="0" w:firstLineChars="0"/>
              <w:jc w:val="center"/>
              <w:rPr>
                <w:rFonts w:eastAsia="黑体"/>
                <w:sz w:val="22"/>
              </w:rPr>
            </w:pPr>
            <w:r>
              <w:rPr>
                <w:rFonts w:eastAsia="黑体"/>
                <w:sz w:val="22"/>
              </w:rPr>
              <w:t>用途</w:t>
            </w:r>
          </w:p>
        </w:tc>
        <w:tc>
          <w:tcPr>
            <w:tcW w:w="637" w:type="dxa"/>
            <w:vAlign w:val="center"/>
          </w:tcPr>
          <w:p>
            <w:pPr>
              <w:ind w:firstLine="0" w:firstLineChars="0"/>
              <w:jc w:val="center"/>
              <w:rPr>
                <w:rFonts w:eastAsia="黑体"/>
                <w:sz w:val="22"/>
              </w:rPr>
            </w:pPr>
            <w:r>
              <w:rPr>
                <w:rFonts w:eastAsia="黑体"/>
                <w:sz w:val="22"/>
              </w:rPr>
              <w:t>级别</w:t>
            </w:r>
          </w:p>
        </w:tc>
        <w:tc>
          <w:tcPr>
            <w:tcW w:w="7475" w:type="dxa"/>
            <w:vAlign w:val="center"/>
          </w:tcPr>
          <w:p>
            <w:pPr>
              <w:ind w:firstLine="0" w:firstLineChars="0"/>
              <w:jc w:val="center"/>
              <w:rPr>
                <w:rFonts w:eastAsia="黑体"/>
                <w:sz w:val="22"/>
              </w:rPr>
            </w:pPr>
            <w:r>
              <w:rPr>
                <w:rFonts w:eastAsia="黑体"/>
                <w:sz w:val="22"/>
              </w:rPr>
              <w:t>级别范围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939" w:hRule="atLeast"/>
          <w:jc w:val="center"/>
        </w:trPr>
        <w:tc>
          <w:tcPr>
            <w:tcW w:w="737" w:type="dxa"/>
            <w:vMerge w:val="restart"/>
            <w:vAlign w:val="center"/>
          </w:tcPr>
          <w:p>
            <w:pPr>
              <w:ind w:firstLine="0" w:firstLineChars="0"/>
              <w:jc w:val="center"/>
              <w:rPr>
                <w:rFonts w:eastAsia="仿宋"/>
                <w:b/>
                <w:szCs w:val="21"/>
              </w:rPr>
            </w:pPr>
            <w:r>
              <w:rPr>
                <w:rFonts w:hAnsi="仿宋" w:eastAsia="仿宋"/>
                <w:b/>
                <w:szCs w:val="21"/>
              </w:rPr>
              <w:t>商业</w:t>
            </w:r>
          </w:p>
          <w:p>
            <w:pPr>
              <w:ind w:firstLine="0" w:firstLineChars="0"/>
              <w:jc w:val="center"/>
              <w:rPr>
                <w:rFonts w:eastAsia="仿宋"/>
                <w:b/>
                <w:szCs w:val="21"/>
              </w:rPr>
            </w:pPr>
            <w:r>
              <w:rPr>
                <w:rFonts w:hAnsi="仿宋" w:eastAsia="仿宋"/>
                <w:b/>
                <w:szCs w:val="21"/>
              </w:rPr>
              <w:t>住宅</w:t>
            </w:r>
          </w:p>
          <w:p>
            <w:pPr>
              <w:ind w:firstLine="0" w:firstLineChars="0"/>
              <w:jc w:val="center"/>
              <w:rPr>
                <w:rFonts w:eastAsia="仿宋"/>
                <w:b/>
                <w:szCs w:val="21"/>
              </w:rPr>
            </w:pPr>
            <w:r>
              <w:rPr>
                <w:rFonts w:hAnsi="仿宋" w:eastAsia="仿宋"/>
                <w:b/>
                <w:szCs w:val="21"/>
              </w:rPr>
              <w:t>用地</w:t>
            </w:r>
          </w:p>
        </w:tc>
        <w:tc>
          <w:tcPr>
            <w:tcW w:w="637" w:type="dxa"/>
            <w:vAlign w:val="center"/>
          </w:tcPr>
          <w:p>
            <w:pPr>
              <w:ind w:firstLine="0" w:firstLineChars="0"/>
              <w:jc w:val="center"/>
              <w:rPr>
                <w:rFonts w:eastAsia="仿宋"/>
                <w:b/>
                <w:szCs w:val="21"/>
              </w:rPr>
            </w:pPr>
            <w:r>
              <w:rPr>
                <w:rFonts w:eastAsia="仿宋"/>
                <w:b/>
                <w:szCs w:val="21"/>
              </w:rPr>
              <w:t>I</w:t>
            </w:r>
          </w:p>
        </w:tc>
        <w:tc>
          <w:tcPr>
            <w:tcW w:w="7475" w:type="dxa"/>
            <w:vAlign w:val="center"/>
          </w:tcPr>
          <w:p>
            <w:pPr>
              <w:spacing w:line="340" w:lineRule="exact"/>
              <w:ind w:firstLine="420"/>
              <w:rPr>
                <w:rFonts w:eastAsia="仿宋_GB2312"/>
                <w:szCs w:val="21"/>
              </w:rPr>
            </w:pPr>
            <w:r>
              <w:rPr>
                <w:rFonts w:eastAsia="仿宋_GB2312"/>
                <w:bCs/>
                <w:szCs w:val="21"/>
              </w:rPr>
              <w:t>大海林林业局局址</w:t>
            </w:r>
            <w:r>
              <w:rPr>
                <w:rFonts w:hint="eastAsia" w:eastAsia="仿宋_GB2312"/>
                <w:bCs/>
                <w:szCs w:val="21"/>
              </w:rPr>
              <w:t>：</w:t>
            </w:r>
            <w:r>
              <w:rPr>
                <w:rFonts w:eastAsia="仿宋_GB2312"/>
                <w:szCs w:val="21"/>
              </w:rPr>
              <w:t>由佳源木业有限公司北侧道口起</w:t>
            </w:r>
            <w:r>
              <w:rPr>
                <w:rFonts w:hint="eastAsia" w:eastAsia="仿宋_GB2312"/>
                <w:szCs w:val="21"/>
              </w:rPr>
              <w:t>，</w:t>
            </w:r>
            <w:r>
              <w:rPr>
                <w:rFonts w:eastAsia="仿宋_GB2312"/>
                <w:szCs w:val="21"/>
              </w:rPr>
              <w:t>沿道路向东南至雪乡文化广场东北角</w:t>
            </w:r>
            <w:r>
              <w:rPr>
                <w:rFonts w:hint="eastAsia" w:eastAsia="仿宋_GB2312"/>
                <w:szCs w:val="21"/>
              </w:rPr>
              <w:t>，</w:t>
            </w:r>
            <w:r>
              <w:rPr>
                <w:rFonts w:eastAsia="仿宋_GB2312"/>
                <w:szCs w:val="21"/>
              </w:rPr>
              <w:t>沿广场栅栏向西南过林海街</w:t>
            </w:r>
            <w:r>
              <w:rPr>
                <w:rFonts w:hint="eastAsia" w:eastAsia="仿宋_GB2312"/>
                <w:szCs w:val="21"/>
              </w:rPr>
              <w:t>，</w:t>
            </w:r>
            <w:r>
              <w:rPr>
                <w:rFonts w:eastAsia="仿宋_GB2312"/>
                <w:szCs w:val="21"/>
              </w:rPr>
              <w:t>沿道路至公安局消防队北侧山根</w:t>
            </w:r>
            <w:r>
              <w:rPr>
                <w:rFonts w:hint="eastAsia" w:eastAsia="仿宋_GB2312"/>
                <w:szCs w:val="21"/>
              </w:rPr>
              <w:t>，</w:t>
            </w:r>
            <w:r>
              <w:rPr>
                <w:rFonts w:eastAsia="仿宋_GB2312"/>
                <w:szCs w:val="21"/>
              </w:rPr>
              <w:t>沿山根塔山公园边缘至塔山路与望塔街交叉口</w:t>
            </w:r>
            <w:r>
              <w:rPr>
                <w:rFonts w:hint="eastAsia" w:eastAsia="仿宋_GB2312"/>
                <w:szCs w:val="21"/>
              </w:rPr>
              <w:t>，</w:t>
            </w:r>
            <w:r>
              <w:rPr>
                <w:rFonts w:eastAsia="仿宋_GB2312"/>
                <w:szCs w:val="21"/>
              </w:rPr>
              <w:t>沿望塔街向西至健康路与望塔街交叉口</w:t>
            </w:r>
            <w:r>
              <w:rPr>
                <w:rFonts w:hint="eastAsia" w:eastAsia="仿宋_GB2312"/>
                <w:szCs w:val="21"/>
              </w:rPr>
              <w:t>，</w:t>
            </w:r>
            <w:r>
              <w:rPr>
                <w:rFonts w:eastAsia="仿宋_GB2312"/>
                <w:szCs w:val="21"/>
              </w:rPr>
              <w:t>沿健康路向北至第一小学门口</w:t>
            </w:r>
            <w:r>
              <w:rPr>
                <w:rFonts w:hint="eastAsia" w:eastAsia="仿宋_GB2312"/>
                <w:szCs w:val="21"/>
              </w:rPr>
              <w:t>，</w:t>
            </w:r>
            <w:r>
              <w:rPr>
                <w:rFonts w:eastAsia="仿宋_GB2312"/>
                <w:szCs w:val="21"/>
              </w:rPr>
              <w:t>沿商贸街向东至中直路</w:t>
            </w:r>
            <w:r>
              <w:rPr>
                <w:rFonts w:hint="eastAsia" w:eastAsia="仿宋_GB2312"/>
                <w:szCs w:val="21"/>
              </w:rPr>
              <w:t>，</w:t>
            </w:r>
            <w:r>
              <w:rPr>
                <w:rFonts w:eastAsia="仿宋_GB2312"/>
                <w:szCs w:val="21"/>
              </w:rPr>
              <w:t>沿中直路向北至林海街</w:t>
            </w:r>
            <w:r>
              <w:rPr>
                <w:rFonts w:hint="eastAsia" w:eastAsia="仿宋_GB2312"/>
                <w:szCs w:val="21"/>
              </w:rPr>
              <w:t>，</w:t>
            </w:r>
            <w:r>
              <w:rPr>
                <w:rFonts w:eastAsia="仿宋_GB2312"/>
                <w:szCs w:val="21"/>
              </w:rPr>
              <w:t>沿林海街向东至东直路</w:t>
            </w:r>
            <w:r>
              <w:rPr>
                <w:rFonts w:hint="eastAsia" w:eastAsia="仿宋_GB2312"/>
                <w:szCs w:val="21"/>
              </w:rPr>
              <w:t>，</w:t>
            </w:r>
            <w:r>
              <w:rPr>
                <w:rFonts w:eastAsia="仿宋_GB2312"/>
                <w:szCs w:val="21"/>
              </w:rPr>
              <w:t>沿东直路向北至起点所围合成的闭合区域。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355" w:hRule="atLeast"/>
          <w:jc w:val="center"/>
        </w:trPr>
        <w:tc>
          <w:tcPr>
            <w:tcW w:w="737" w:type="dxa"/>
            <w:vMerge w:val="continue"/>
            <w:vAlign w:val="center"/>
          </w:tcPr>
          <w:p>
            <w:pPr>
              <w:ind w:firstLine="0" w:firstLineChars="0"/>
              <w:jc w:val="center"/>
              <w:rPr>
                <w:rFonts w:eastAsia="仿宋"/>
                <w:b/>
                <w:szCs w:val="21"/>
              </w:rPr>
            </w:pPr>
          </w:p>
        </w:tc>
        <w:tc>
          <w:tcPr>
            <w:tcW w:w="637" w:type="dxa"/>
            <w:vAlign w:val="center"/>
          </w:tcPr>
          <w:p>
            <w:pPr>
              <w:ind w:firstLine="0" w:firstLineChars="0"/>
              <w:jc w:val="center"/>
              <w:rPr>
                <w:rFonts w:eastAsia="仿宋"/>
                <w:b/>
                <w:szCs w:val="21"/>
              </w:rPr>
            </w:pPr>
            <w:r>
              <w:rPr>
                <w:rFonts w:eastAsia="仿宋"/>
                <w:b/>
                <w:szCs w:val="21"/>
              </w:rPr>
              <w:t>II</w:t>
            </w:r>
          </w:p>
        </w:tc>
        <w:tc>
          <w:tcPr>
            <w:tcW w:w="7475" w:type="dxa"/>
            <w:vAlign w:val="center"/>
          </w:tcPr>
          <w:p>
            <w:pPr>
              <w:spacing w:line="340" w:lineRule="exact"/>
              <w:ind w:firstLine="420"/>
              <w:rPr>
                <w:rFonts w:hint="eastAsia" w:eastAsia="仿宋_GB2312"/>
                <w:szCs w:val="21"/>
              </w:rPr>
            </w:pPr>
            <w:r>
              <w:rPr>
                <w:rFonts w:eastAsia="仿宋_GB2312"/>
                <w:bCs/>
                <w:szCs w:val="21"/>
              </w:rPr>
              <w:t>大海林林业局局址</w:t>
            </w:r>
            <w:r>
              <w:rPr>
                <w:rFonts w:hint="eastAsia" w:eastAsia="仿宋_GB2312"/>
                <w:bCs/>
                <w:szCs w:val="21"/>
              </w:rPr>
              <w:t>：</w:t>
            </w:r>
            <w:r>
              <w:rPr>
                <w:rFonts w:eastAsia="仿宋_GB2312"/>
                <w:szCs w:val="21"/>
              </w:rPr>
              <w:t>由佳源木业有限公司北侧道口起</w:t>
            </w:r>
            <w:r>
              <w:rPr>
                <w:rFonts w:hint="eastAsia" w:eastAsia="仿宋_GB2312"/>
                <w:szCs w:val="21"/>
              </w:rPr>
              <w:t>，</w:t>
            </w:r>
            <w:r>
              <w:rPr>
                <w:rFonts w:eastAsia="仿宋_GB2312"/>
                <w:szCs w:val="21"/>
              </w:rPr>
              <w:t>道路向东北至桥头十字路口</w:t>
            </w:r>
            <w:r>
              <w:rPr>
                <w:rFonts w:hint="eastAsia" w:eastAsia="仿宋_GB2312"/>
                <w:szCs w:val="21"/>
              </w:rPr>
              <w:t>，</w:t>
            </w:r>
            <w:r>
              <w:rPr>
                <w:rFonts w:eastAsia="仿宋_GB2312"/>
                <w:szCs w:val="21"/>
              </w:rPr>
              <w:t>沿河街向东南至迎宾路</w:t>
            </w:r>
            <w:r>
              <w:rPr>
                <w:rFonts w:hint="eastAsia" w:eastAsia="仿宋_GB2312"/>
                <w:szCs w:val="21"/>
              </w:rPr>
              <w:t>，</w:t>
            </w:r>
            <w:r>
              <w:rPr>
                <w:rFonts w:eastAsia="仿宋_GB2312"/>
                <w:szCs w:val="21"/>
              </w:rPr>
              <w:t>迎宾路向南过林海街至利民新都小区南侧</w:t>
            </w:r>
            <w:r>
              <w:rPr>
                <w:rFonts w:hint="eastAsia" w:eastAsia="仿宋_GB2312"/>
                <w:szCs w:val="21"/>
              </w:rPr>
              <w:t>，</w:t>
            </w:r>
            <w:r>
              <w:rPr>
                <w:rFonts w:eastAsia="仿宋_GB2312"/>
                <w:szCs w:val="21"/>
              </w:rPr>
              <w:t>沿道路向西至利康路</w:t>
            </w:r>
            <w:r>
              <w:rPr>
                <w:rFonts w:hint="eastAsia" w:eastAsia="仿宋_GB2312"/>
                <w:szCs w:val="21"/>
              </w:rPr>
              <w:t>，</w:t>
            </w:r>
            <w:r>
              <w:rPr>
                <w:rFonts w:eastAsia="仿宋_GB2312"/>
                <w:szCs w:val="21"/>
              </w:rPr>
              <w:t>沿利康路向北至利民新都小区南侧</w:t>
            </w:r>
            <w:r>
              <w:rPr>
                <w:rFonts w:hint="eastAsia" w:eastAsia="仿宋_GB2312"/>
                <w:szCs w:val="21"/>
              </w:rPr>
              <w:t>，</w:t>
            </w:r>
            <w:r>
              <w:rPr>
                <w:rFonts w:eastAsia="仿宋_GB2312"/>
                <w:szCs w:val="21"/>
              </w:rPr>
              <w:t>沿小区南侧向西北拐至青年楼南侧</w:t>
            </w:r>
            <w:r>
              <w:rPr>
                <w:rFonts w:hint="eastAsia" w:eastAsia="仿宋_GB2312"/>
                <w:szCs w:val="21"/>
              </w:rPr>
              <w:t>，</w:t>
            </w:r>
            <w:r>
              <w:rPr>
                <w:rFonts w:eastAsia="仿宋_GB2312"/>
                <w:szCs w:val="21"/>
              </w:rPr>
              <w:t>沿青年楼南侧向西北至昌盛路</w:t>
            </w:r>
            <w:r>
              <w:rPr>
                <w:rFonts w:hint="eastAsia" w:eastAsia="仿宋_GB2312"/>
                <w:szCs w:val="21"/>
              </w:rPr>
              <w:t>，</w:t>
            </w:r>
            <w:r>
              <w:rPr>
                <w:rFonts w:eastAsia="仿宋_GB2312"/>
                <w:szCs w:val="21"/>
              </w:rPr>
              <w:t>沿昌盛路向西南至瑞雪嘉园小区南侧</w:t>
            </w:r>
            <w:r>
              <w:rPr>
                <w:rFonts w:hint="eastAsia" w:eastAsia="仿宋_GB2312"/>
                <w:szCs w:val="21"/>
              </w:rPr>
              <w:t>，</w:t>
            </w:r>
            <w:r>
              <w:rPr>
                <w:rFonts w:eastAsia="仿宋_GB2312"/>
                <w:szCs w:val="21"/>
              </w:rPr>
              <w:t>沿小区南侧道路向西北经第二小学南侧至贮木路</w:t>
            </w:r>
            <w:r>
              <w:rPr>
                <w:rFonts w:hint="eastAsia" w:eastAsia="仿宋_GB2312"/>
                <w:szCs w:val="21"/>
              </w:rPr>
              <w:t>，</w:t>
            </w:r>
            <w:r>
              <w:rPr>
                <w:rFonts w:eastAsia="仿宋_GB2312"/>
                <w:szCs w:val="21"/>
              </w:rPr>
              <w:t>沿贮木路向东北至闿福门大酒店南侧</w:t>
            </w:r>
            <w:r>
              <w:rPr>
                <w:rFonts w:hint="eastAsia" w:eastAsia="仿宋_GB2312"/>
                <w:szCs w:val="21"/>
              </w:rPr>
              <w:t>，</w:t>
            </w:r>
            <w:r>
              <w:rPr>
                <w:rFonts w:eastAsia="仿宋_GB2312"/>
                <w:szCs w:val="21"/>
              </w:rPr>
              <w:t>沿闿福门大酒店南侧向西北经和谐家园小区南侧至公安局消防队门前路口</w:t>
            </w:r>
            <w:r>
              <w:rPr>
                <w:rFonts w:hint="eastAsia" w:eastAsia="仿宋_GB2312"/>
                <w:szCs w:val="21"/>
              </w:rPr>
              <w:t>，</w:t>
            </w:r>
            <w:r>
              <w:rPr>
                <w:rFonts w:eastAsia="仿宋_GB2312"/>
                <w:szCs w:val="21"/>
              </w:rPr>
              <w:t>沿道路向东北过林海街至雪乡文化广场东北角</w:t>
            </w:r>
            <w:r>
              <w:rPr>
                <w:rFonts w:hint="eastAsia" w:eastAsia="仿宋_GB2312"/>
                <w:szCs w:val="21"/>
              </w:rPr>
              <w:t>，</w:t>
            </w:r>
            <w:r>
              <w:rPr>
                <w:rFonts w:eastAsia="仿宋_GB2312"/>
                <w:szCs w:val="21"/>
              </w:rPr>
              <w:t>沿道路向西北至起点所围合成的闭合区域</w:t>
            </w:r>
            <w:r>
              <w:rPr>
                <w:rFonts w:hint="eastAsia" w:eastAsia="仿宋_GB2312"/>
                <w:szCs w:val="21"/>
              </w:rPr>
              <w:t>（</w:t>
            </w:r>
            <w:r>
              <w:rPr>
                <w:rFonts w:eastAsia="仿宋_GB2312"/>
                <w:szCs w:val="21"/>
              </w:rPr>
              <w:t>一等地除外</w:t>
            </w:r>
            <w:r>
              <w:rPr>
                <w:rFonts w:hint="eastAsia" w:eastAsia="仿宋_GB2312"/>
                <w:szCs w:val="21"/>
              </w:rPr>
              <w:t>）</w:t>
            </w:r>
            <w:r>
              <w:rPr>
                <w:rFonts w:eastAsia="仿宋_GB2312"/>
                <w:szCs w:val="21"/>
              </w:rPr>
              <w:t>。</w:t>
            </w:r>
          </w:p>
          <w:p>
            <w:pPr>
              <w:spacing w:line="340" w:lineRule="exact"/>
              <w:ind w:firstLine="420"/>
              <w:rPr>
                <w:rFonts w:eastAsia="仿宋_GB2312"/>
                <w:szCs w:val="21"/>
              </w:rPr>
            </w:pPr>
            <w:r>
              <w:rPr>
                <w:rFonts w:eastAsia="仿宋_GB2312"/>
                <w:bCs/>
                <w:szCs w:val="21"/>
              </w:rPr>
              <w:t>大海林林业局局址</w:t>
            </w:r>
            <w:r>
              <w:rPr>
                <w:rFonts w:hint="eastAsia" w:eastAsia="仿宋_GB2312"/>
                <w:szCs w:val="21"/>
              </w:rPr>
              <w:t>：</w:t>
            </w:r>
            <w:r>
              <w:rPr>
                <w:rFonts w:eastAsia="仿宋_GB2312"/>
                <w:szCs w:val="21"/>
              </w:rPr>
              <w:t>由原汽运处西南角起沿围墙向北至沿河街</w:t>
            </w:r>
            <w:r>
              <w:rPr>
                <w:rFonts w:hint="eastAsia" w:eastAsia="仿宋_GB2312"/>
                <w:szCs w:val="21"/>
              </w:rPr>
              <w:t>，</w:t>
            </w:r>
            <w:r>
              <w:rPr>
                <w:rFonts w:eastAsia="仿宋_GB2312"/>
                <w:szCs w:val="21"/>
              </w:rPr>
              <w:t>沿道路向东南至自来水公司西南角</w:t>
            </w:r>
            <w:r>
              <w:rPr>
                <w:rFonts w:hint="eastAsia" w:eastAsia="仿宋_GB2312"/>
                <w:szCs w:val="21"/>
              </w:rPr>
              <w:t>，</w:t>
            </w:r>
            <w:r>
              <w:rPr>
                <w:rFonts w:eastAsia="仿宋_GB2312"/>
                <w:szCs w:val="21"/>
              </w:rPr>
              <w:t>沿围墙向北至自来水公司西北角</w:t>
            </w:r>
            <w:r>
              <w:rPr>
                <w:rFonts w:hint="eastAsia" w:eastAsia="仿宋_GB2312"/>
                <w:szCs w:val="21"/>
              </w:rPr>
              <w:t>，</w:t>
            </w:r>
            <w:r>
              <w:rPr>
                <w:rFonts w:eastAsia="仿宋_GB2312"/>
                <w:szCs w:val="21"/>
              </w:rPr>
              <w:t>沿海浪河边向东南至长汀镇原北方木器厂西北角</w:t>
            </w:r>
            <w:r>
              <w:rPr>
                <w:rFonts w:hint="eastAsia" w:eastAsia="仿宋_GB2312"/>
                <w:szCs w:val="21"/>
              </w:rPr>
              <w:t>，</w:t>
            </w:r>
            <w:r>
              <w:rPr>
                <w:rFonts w:eastAsia="仿宋_GB2312"/>
                <w:szCs w:val="21"/>
              </w:rPr>
              <w:t>沿围墙向南至木器厂门前</w:t>
            </w:r>
            <w:r>
              <w:rPr>
                <w:rFonts w:hint="eastAsia" w:eastAsia="仿宋_GB2312"/>
                <w:szCs w:val="21"/>
              </w:rPr>
              <w:t>，</w:t>
            </w:r>
            <w:r>
              <w:rPr>
                <w:rFonts w:eastAsia="仿宋_GB2312"/>
                <w:szCs w:val="21"/>
              </w:rPr>
              <w:t>沿道路向西南过交叉路口经机械厂至长汀镇卫生院门前</w:t>
            </w:r>
            <w:r>
              <w:rPr>
                <w:rFonts w:hint="eastAsia" w:eastAsia="仿宋_GB2312"/>
                <w:szCs w:val="21"/>
              </w:rPr>
              <w:t>，</w:t>
            </w:r>
            <w:r>
              <w:rPr>
                <w:rFonts w:eastAsia="仿宋_GB2312"/>
                <w:szCs w:val="21"/>
              </w:rPr>
              <w:t>沿道路向北至红岩街</w:t>
            </w:r>
            <w:r>
              <w:rPr>
                <w:rFonts w:hint="eastAsia" w:eastAsia="仿宋_GB2312"/>
                <w:szCs w:val="21"/>
              </w:rPr>
              <w:t>，</w:t>
            </w:r>
            <w:r>
              <w:rPr>
                <w:rFonts w:eastAsia="仿宋_GB2312"/>
                <w:szCs w:val="21"/>
              </w:rPr>
              <w:t>沿红岩街向西北至起点所围合成的闭合区域</w:t>
            </w:r>
            <w:r>
              <w:rPr>
                <w:rFonts w:hint="eastAsia" w:eastAsia="仿宋_GB2312"/>
                <w:szCs w:val="21"/>
              </w:rPr>
              <w:t>（</w:t>
            </w:r>
            <w:r>
              <w:rPr>
                <w:rFonts w:eastAsia="仿宋_GB2312"/>
                <w:szCs w:val="21"/>
              </w:rPr>
              <w:t>一等地除外</w:t>
            </w:r>
            <w:r>
              <w:rPr>
                <w:rFonts w:hint="eastAsia" w:eastAsia="仿宋_GB2312"/>
                <w:szCs w:val="21"/>
              </w:rPr>
              <w:t>）</w:t>
            </w:r>
            <w:r>
              <w:rPr>
                <w:rFonts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211" w:hRule="atLeast"/>
          <w:jc w:val="center"/>
        </w:trPr>
        <w:tc>
          <w:tcPr>
            <w:tcW w:w="737" w:type="dxa"/>
            <w:vMerge w:val="continue"/>
            <w:vAlign w:val="center"/>
          </w:tcPr>
          <w:p>
            <w:pPr>
              <w:ind w:firstLine="0" w:firstLineChars="0"/>
              <w:jc w:val="center"/>
              <w:rPr>
                <w:rFonts w:eastAsia="仿宋"/>
                <w:b/>
                <w:szCs w:val="21"/>
              </w:rPr>
            </w:pPr>
          </w:p>
        </w:tc>
        <w:tc>
          <w:tcPr>
            <w:tcW w:w="637" w:type="dxa"/>
            <w:vAlign w:val="center"/>
          </w:tcPr>
          <w:p>
            <w:pPr>
              <w:ind w:firstLine="0" w:firstLineChars="0"/>
              <w:jc w:val="center"/>
              <w:rPr>
                <w:rFonts w:eastAsia="仿宋"/>
                <w:b/>
                <w:szCs w:val="21"/>
              </w:rPr>
            </w:pPr>
            <w:r>
              <w:rPr>
                <w:rFonts w:hAnsi="仿宋" w:eastAsia="仿宋"/>
                <w:b/>
                <w:szCs w:val="21"/>
              </w:rPr>
              <w:t>Ⅲ</w:t>
            </w:r>
          </w:p>
        </w:tc>
        <w:tc>
          <w:tcPr>
            <w:tcW w:w="7475" w:type="dxa"/>
            <w:vAlign w:val="center"/>
          </w:tcPr>
          <w:p>
            <w:pPr>
              <w:spacing w:line="340" w:lineRule="exact"/>
              <w:ind w:firstLine="420"/>
              <w:rPr>
                <w:rFonts w:eastAsia="仿宋_GB2312"/>
                <w:spacing w:val="-6"/>
                <w:szCs w:val="21"/>
              </w:rPr>
            </w:pPr>
            <w:r>
              <w:rPr>
                <w:rFonts w:eastAsia="仿宋_GB2312"/>
                <w:bCs/>
                <w:szCs w:val="21"/>
              </w:rPr>
              <w:t>大海林林业局局址</w:t>
            </w:r>
            <w:r>
              <w:rPr>
                <w:rFonts w:hint="eastAsia" w:eastAsia="仿宋_GB2312"/>
                <w:bCs/>
                <w:szCs w:val="21"/>
              </w:rPr>
              <w:t>：</w:t>
            </w:r>
            <w:r>
              <w:rPr>
                <w:rFonts w:eastAsia="仿宋_GB2312"/>
                <w:spacing w:val="-6"/>
                <w:szCs w:val="21"/>
              </w:rPr>
              <w:t>除一、二等地以外的土地利用总体规划确定的国有建设用地。</w:t>
            </w:r>
          </w:p>
          <w:p>
            <w:pPr>
              <w:spacing w:line="340" w:lineRule="exact"/>
              <w:ind w:firstLine="396"/>
              <w:rPr>
                <w:rFonts w:eastAsia="仿宋_GB2312"/>
                <w:szCs w:val="21"/>
              </w:rPr>
            </w:pPr>
            <w:r>
              <w:rPr>
                <w:rFonts w:eastAsia="仿宋_GB2312"/>
                <w:spacing w:val="-6"/>
                <w:szCs w:val="21"/>
              </w:rPr>
              <w:t>雪乡景区管理委员会、红星经营所、青坪经营所、长汀经营所、梨树沟经营所、红旗林场</w:t>
            </w:r>
            <w:r>
              <w:rPr>
                <w:rFonts w:hint="eastAsia" w:eastAsia="仿宋_GB2312"/>
                <w:spacing w:val="-6"/>
                <w:szCs w:val="21"/>
              </w:rPr>
              <w:t>：</w:t>
            </w:r>
            <w:r>
              <w:rPr>
                <w:rFonts w:eastAsia="仿宋_GB2312"/>
                <w:spacing w:val="-6"/>
                <w:szCs w:val="21"/>
              </w:rPr>
              <w:t>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183" w:hRule="atLeast"/>
          <w:jc w:val="center"/>
        </w:trPr>
        <w:tc>
          <w:tcPr>
            <w:tcW w:w="737" w:type="dxa"/>
            <w:vMerge w:val="continue"/>
            <w:vAlign w:val="center"/>
          </w:tcPr>
          <w:p>
            <w:pPr>
              <w:ind w:firstLine="0" w:firstLineChars="0"/>
              <w:jc w:val="center"/>
              <w:rPr>
                <w:rFonts w:eastAsia="仿宋"/>
                <w:b/>
                <w:szCs w:val="21"/>
              </w:rPr>
            </w:pPr>
          </w:p>
        </w:tc>
        <w:tc>
          <w:tcPr>
            <w:tcW w:w="637" w:type="dxa"/>
            <w:vAlign w:val="center"/>
          </w:tcPr>
          <w:p>
            <w:pPr>
              <w:ind w:firstLine="0" w:firstLineChars="0"/>
              <w:jc w:val="center"/>
              <w:rPr>
                <w:rFonts w:eastAsia="仿宋"/>
                <w:b/>
                <w:szCs w:val="21"/>
              </w:rPr>
            </w:pPr>
            <w:r>
              <w:rPr>
                <w:rFonts w:hAnsi="仿宋" w:eastAsia="仿宋"/>
                <w:b/>
                <w:szCs w:val="21"/>
              </w:rPr>
              <w:t>Ⅳ</w:t>
            </w:r>
          </w:p>
        </w:tc>
        <w:tc>
          <w:tcPr>
            <w:tcW w:w="7475" w:type="dxa"/>
            <w:vAlign w:val="center"/>
          </w:tcPr>
          <w:p>
            <w:pPr>
              <w:spacing w:line="340" w:lineRule="exact"/>
              <w:ind w:firstLine="396"/>
              <w:rPr>
                <w:rFonts w:eastAsia="仿宋_GB2312"/>
                <w:szCs w:val="21"/>
              </w:rPr>
            </w:pPr>
            <w:r>
              <w:rPr>
                <w:rFonts w:eastAsia="仿宋_GB2312"/>
                <w:spacing w:val="-6"/>
                <w:szCs w:val="21"/>
              </w:rPr>
              <w:t>兴农林场、柳河林场、新林村经营所、新林林场、七峰林场、太平沟林场、青云山林场、二浪河林场、西南岔林场、永安林场、前进林场、海浪林场、海源林场、杨木沟林场</w:t>
            </w:r>
            <w:r>
              <w:rPr>
                <w:rFonts w:hint="eastAsia" w:eastAsia="仿宋_GB2312"/>
                <w:spacing w:val="-6"/>
                <w:szCs w:val="21"/>
              </w:rPr>
              <w:t>：</w:t>
            </w:r>
            <w:r>
              <w:rPr>
                <w:rFonts w:eastAsia="仿宋_GB2312"/>
                <w:spacing w:val="-6"/>
                <w:szCs w:val="21"/>
              </w:rPr>
              <w:t>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155" w:hRule="atLeast"/>
          <w:jc w:val="center"/>
        </w:trPr>
        <w:tc>
          <w:tcPr>
            <w:tcW w:w="737" w:type="dxa"/>
            <w:vMerge w:val="restart"/>
            <w:vAlign w:val="center"/>
          </w:tcPr>
          <w:p>
            <w:pPr>
              <w:ind w:firstLine="0" w:firstLineChars="0"/>
              <w:jc w:val="center"/>
              <w:rPr>
                <w:rFonts w:eastAsia="仿宋"/>
                <w:b/>
                <w:szCs w:val="21"/>
              </w:rPr>
            </w:pPr>
            <w:r>
              <w:rPr>
                <w:rFonts w:hAnsi="仿宋" w:eastAsia="仿宋"/>
                <w:b/>
                <w:szCs w:val="21"/>
              </w:rPr>
              <w:t>工业</w:t>
            </w:r>
          </w:p>
          <w:p>
            <w:pPr>
              <w:ind w:firstLine="0" w:firstLineChars="0"/>
              <w:jc w:val="center"/>
              <w:rPr>
                <w:rFonts w:eastAsia="仿宋"/>
                <w:b/>
                <w:szCs w:val="21"/>
              </w:rPr>
            </w:pPr>
            <w:r>
              <w:rPr>
                <w:rFonts w:hAnsi="仿宋" w:eastAsia="仿宋"/>
                <w:b/>
                <w:szCs w:val="21"/>
              </w:rPr>
              <w:t>用地</w:t>
            </w:r>
          </w:p>
        </w:tc>
        <w:tc>
          <w:tcPr>
            <w:tcW w:w="637" w:type="dxa"/>
            <w:vAlign w:val="center"/>
          </w:tcPr>
          <w:p>
            <w:pPr>
              <w:ind w:firstLine="0" w:firstLineChars="0"/>
              <w:jc w:val="center"/>
              <w:rPr>
                <w:rFonts w:eastAsia="仿宋"/>
                <w:b/>
                <w:szCs w:val="21"/>
              </w:rPr>
            </w:pPr>
            <w:r>
              <w:rPr>
                <w:rFonts w:eastAsia="仿宋"/>
                <w:b/>
                <w:szCs w:val="21"/>
              </w:rPr>
              <w:t>I</w:t>
            </w:r>
          </w:p>
        </w:tc>
        <w:tc>
          <w:tcPr>
            <w:tcW w:w="7475" w:type="dxa"/>
            <w:vAlign w:val="center"/>
          </w:tcPr>
          <w:p>
            <w:pPr>
              <w:spacing w:line="340" w:lineRule="exact"/>
              <w:ind w:firstLine="420"/>
              <w:rPr>
                <w:rFonts w:eastAsia="仿宋_GB2312"/>
                <w:spacing w:val="-6"/>
                <w:szCs w:val="21"/>
              </w:rPr>
            </w:pPr>
            <w:r>
              <w:rPr>
                <w:rFonts w:eastAsia="仿宋_GB2312"/>
                <w:bCs/>
                <w:szCs w:val="21"/>
              </w:rPr>
              <w:t>七峰林场:</w:t>
            </w:r>
            <w:r>
              <w:rPr>
                <w:rFonts w:eastAsia="仿宋_GB2312"/>
                <w:spacing w:val="-6"/>
                <w:szCs w:val="21"/>
              </w:rPr>
              <w:t>所在吉林省敦化市部分土地利用总体规划中确定的国有建设用地。</w:t>
            </w:r>
          </w:p>
          <w:p>
            <w:pPr>
              <w:spacing w:line="340" w:lineRule="exact"/>
              <w:ind w:firstLine="396"/>
              <w:rPr>
                <w:rFonts w:eastAsia="仿宋_GB2312"/>
                <w:szCs w:val="21"/>
              </w:rPr>
            </w:pPr>
            <w:r>
              <w:rPr>
                <w:rFonts w:eastAsia="仿宋_GB2312"/>
                <w:spacing w:val="-6"/>
                <w:szCs w:val="21"/>
              </w:rPr>
              <w:t>太平沟林场、前进林场、海浪林场、海源林场、杨木沟林场、永安林场、雪乡景区管理委员会:土地利用总体规划确定的国有建设用地。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602" w:hRule="atLeast"/>
          <w:jc w:val="center"/>
        </w:trPr>
        <w:tc>
          <w:tcPr>
            <w:tcW w:w="737" w:type="dxa"/>
            <w:vMerge w:val="continue"/>
            <w:vAlign w:val="center"/>
          </w:tcPr>
          <w:p>
            <w:pPr>
              <w:ind w:firstLine="0" w:firstLineChars="0"/>
              <w:jc w:val="center"/>
              <w:rPr>
                <w:rFonts w:eastAsia="仿宋"/>
                <w:b/>
                <w:szCs w:val="21"/>
              </w:rPr>
            </w:pPr>
          </w:p>
        </w:tc>
        <w:tc>
          <w:tcPr>
            <w:tcW w:w="637" w:type="dxa"/>
            <w:vAlign w:val="center"/>
          </w:tcPr>
          <w:p>
            <w:pPr>
              <w:ind w:firstLine="0" w:firstLineChars="0"/>
              <w:jc w:val="center"/>
              <w:rPr>
                <w:rFonts w:eastAsia="仿宋"/>
                <w:b/>
                <w:szCs w:val="21"/>
              </w:rPr>
            </w:pPr>
            <w:r>
              <w:rPr>
                <w:rFonts w:eastAsia="仿宋"/>
                <w:b/>
                <w:szCs w:val="21"/>
              </w:rPr>
              <w:t>II</w:t>
            </w:r>
          </w:p>
        </w:tc>
        <w:tc>
          <w:tcPr>
            <w:tcW w:w="7475" w:type="dxa"/>
            <w:vAlign w:val="center"/>
          </w:tcPr>
          <w:p>
            <w:pPr>
              <w:spacing w:line="340" w:lineRule="exact"/>
              <w:ind w:firstLine="420"/>
              <w:rPr>
                <w:rFonts w:eastAsia="仿宋_GB2312"/>
                <w:spacing w:val="-6"/>
                <w:szCs w:val="21"/>
              </w:rPr>
            </w:pPr>
            <w:r>
              <w:rPr>
                <w:rFonts w:eastAsia="仿宋_GB2312"/>
                <w:bCs/>
                <w:szCs w:val="21"/>
              </w:rPr>
              <w:t>七峰林场</w:t>
            </w:r>
            <w:r>
              <w:rPr>
                <w:rFonts w:hint="eastAsia" w:eastAsia="仿宋_GB2312"/>
                <w:bCs/>
                <w:szCs w:val="21"/>
              </w:rPr>
              <w:t>：</w:t>
            </w:r>
            <w:r>
              <w:rPr>
                <w:rFonts w:eastAsia="仿宋_GB2312"/>
                <w:spacing w:val="-6"/>
                <w:szCs w:val="21"/>
              </w:rPr>
              <w:t>所在黑龙江省海林市部分土地利用总体规划确定的国有建设用地。</w:t>
            </w:r>
          </w:p>
          <w:p>
            <w:pPr>
              <w:spacing w:line="340" w:lineRule="exact"/>
              <w:ind w:firstLine="396"/>
              <w:rPr>
                <w:rFonts w:eastAsia="仿宋_GB2312"/>
                <w:szCs w:val="21"/>
              </w:rPr>
            </w:pPr>
            <w:r>
              <w:rPr>
                <w:rFonts w:eastAsia="仿宋_GB2312"/>
                <w:spacing w:val="-6"/>
                <w:szCs w:val="21"/>
              </w:rPr>
              <w:t>大海林林业局局址、红星经营所、长汀经营所、梨树沟经营所、青坪经营所、兴农林场、柳河林场、红旗林场、新林村经营所、青云山林场、新林林场、二浪河林场、西南岔林场</w:t>
            </w:r>
            <w:r>
              <w:rPr>
                <w:rFonts w:hint="eastAsia" w:eastAsia="仿宋_GB2312"/>
                <w:spacing w:val="-6"/>
                <w:szCs w:val="21"/>
              </w:rPr>
              <w:t>：</w:t>
            </w:r>
            <w:r>
              <w:rPr>
                <w:rFonts w:eastAsia="仿宋_GB2312"/>
                <w:spacing w:val="-6"/>
                <w:szCs w:val="21"/>
              </w:rPr>
              <w:t>土地利用总体规划确定的国有建设用地。</w:t>
            </w:r>
          </w:p>
        </w:tc>
      </w:tr>
    </w:tbl>
    <w:p>
      <w:pPr>
        <w:ind w:firstLine="0" w:firstLineChars="0"/>
        <w:jc w:val="left"/>
        <w:rPr>
          <w:rFonts w:eastAsia="仿宋"/>
          <w:b/>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014EB"/>
    <w:rsid w:val="090F217D"/>
    <w:rsid w:val="48F608BD"/>
    <w:rsid w:val="5E30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2020-12-14T06:08:00Z</dcterms:created>
  <dc:creator>Administrator</dc:creator>
  <cp:lastModifiedBy>Administrator</cp:lastModifiedBy>
  <dcterms:modified xsi:type="dcterms:W3CDTF">2020-12-14T06:16:19Z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